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2071" w14:textId="40CAD667" w:rsidR="007C1947" w:rsidRPr="007C1947" w:rsidRDefault="007C1947" w:rsidP="007C1947">
      <w:pPr>
        <w:pStyle w:val="p1"/>
        <w:rPr>
          <w:b/>
          <w:bCs/>
          <w:color w:val="EE0000"/>
          <w:sz w:val="36"/>
          <w:szCs w:val="36"/>
        </w:rPr>
      </w:pPr>
      <w:r w:rsidRPr="007C1947">
        <w:rPr>
          <w:b/>
          <w:bCs/>
          <w:color w:val="EE0000"/>
          <w:sz w:val="36"/>
          <w:szCs w:val="36"/>
        </w:rPr>
        <w:t>STRIDE</w:t>
      </w:r>
    </w:p>
    <w:p w14:paraId="7891FB01" w14:textId="006A1C44" w:rsidR="007C1947" w:rsidRDefault="007C1947" w:rsidP="007C1947">
      <w:pPr>
        <w:pStyle w:val="p1"/>
        <w:rPr>
          <w:color w:val="EE0000"/>
          <w:sz w:val="36"/>
          <w:szCs w:val="36"/>
        </w:rPr>
      </w:pPr>
      <w:r w:rsidRPr="007C1947">
        <w:rPr>
          <w:color w:val="EE0000"/>
          <w:sz w:val="36"/>
          <w:szCs w:val="36"/>
        </w:rPr>
        <w:t xml:space="preserve">Stable and </w:t>
      </w:r>
      <w:proofErr w:type="spellStart"/>
      <w:r w:rsidRPr="007C1947">
        <w:rPr>
          <w:color w:val="EE0000"/>
          <w:sz w:val="36"/>
          <w:szCs w:val="36"/>
        </w:rPr>
        <w:t>Tunable</w:t>
      </w:r>
      <w:proofErr w:type="spellEnd"/>
      <w:r w:rsidRPr="007C1947">
        <w:rPr>
          <w:color w:val="EE0000"/>
          <w:sz w:val="36"/>
          <w:szCs w:val="36"/>
        </w:rPr>
        <w:t xml:space="preserve"> e-beams Research for </w:t>
      </w:r>
      <w:r w:rsidR="000F77FD">
        <w:rPr>
          <w:color w:val="EE0000"/>
          <w:sz w:val="36"/>
          <w:szCs w:val="36"/>
        </w:rPr>
        <w:t>an</w:t>
      </w:r>
      <w:r w:rsidRPr="007C1947">
        <w:rPr>
          <w:color w:val="EE0000"/>
          <w:sz w:val="36"/>
          <w:szCs w:val="36"/>
        </w:rPr>
        <w:t xml:space="preserve"> Infrastructur</w:t>
      </w:r>
      <w:r w:rsidR="000F77FD">
        <w:rPr>
          <w:color w:val="EE0000"/>
          <w:sz w:val="36"/>
          <w:szCs w:val="36"/>
        </w:rPr>
        <w:t>al</w:t>
      </w:r>
      <w:r w:rsidRPr="007C1947">
        <w:rPr>
          <w:color w:val="EE0000"/>
          <w:sz w:val="36"/>
          <w:szCs w:val="36"/>
        </w:rPr>
        <w:t xml:space="preserve"> Development of </w:t>
      </w:r>
      <w:r w:rsidRPr="00A40FCF">
        <w:rPr>
          <w:b/>
          <w:bCs/>
          <w:color w:val="EE0000"/>
          <w:sz w:val="36"/>
          <w:szCs w:val="36"/>
        </w:rPr>
        <w:t>ELI-Beamlines</w:t>
      </w:r>
      <w:r w:rsidR="00B7615F">
        <w:rPr>
          <w:b/>
          <w:bCs/>
          <w:color w:val="EE0000"/>
          <w:sz w:val="36"/>
          <w:szCs w:val="36"/>
        </w:rPr>
        <w:t xml:space="preserve"> (3 ME)</w:t>
      </w:r>
    </w:p>
    <w:p w14:paraId="695CDF9F" w14:textId="77777777" w:rsidR="007C1947" w:rsidRDefault="007C1947" w:rsidP="007C1947">
      <w:pPr>
        <w:pStyle w:val="p1"/>
        <w:rPr>
          <w:color w:val="EE0000"/>
          <w:sz w:val="36"/>
          <w:szCs w:val="36"/>
        </w:rPr>
      </w:pPr>
    </w:p>
    <w:p w14:paraId="5069B1B2" w14:textId="3B4E7E35" w:rsidR="00245DD6" w:rsidRPr="00245DD6" w:rsidRDefault="00245DD6" w:rsidP="00245DD6">
      <w:pPr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A </w:t>
      </w:r>
      <w:r w:rsidR="00B7615F"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technical </w:t>
      </w: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feasibility study for the implementation of the ELI-beamline ERIC Research Infrastructure with an </w:t>
      </w:r>
      <w:r w:rsidRPr="00245DD6"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en-GB"/>
          <w14:ligatures w14:val="none"/>
        </w:rPr>
        <w:t>Advanced Laser</w:t>
      </w: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en-GB"/>
          <w14:ligatures w14:val="none"/>
        </w:rPr>
        <w:t>-Plasma</w:t>
      </w:r>
      <w:r w:rsidRPr="00245DD6"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Particle Acceleration </w:t>
      </w:r>
      <w:r w:rsidRPr="00245DD6"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en-GB"/>
          <w14:ligatures w14:val="none"/>
        </w:rPr>
        <w:t>Scheme</w:t>
      </w: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providing stable and </w:t>
      </w:r>
      <w:proofErr w:type="spellStart"/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en-GB"/>
          <w14:ligatures w14:val="none"/>
        </w:rPr>
        <w:t>tunable</w:t>
      </w:r>
      <w:proofErr w:type="spellEnd"/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en-GB"/>
          <w14:ligatures w14:val="none"/>
        </w:rPr>
        <w:t>, high-brightness, high-quality e- beam lines</w:t>
      </w:r>
    </w:p>
    <w:p w14:paraId="5E9A923A" w14:textId="77777777" w:rsidR="00245DD6" w:rsidRDefault="00245DD6" w:rsidP="007C1947">
      <w:pPr>
        <w:pStyle w:val="p1"/>
        <w:rPr>
          <w:color w:val="EE0000"/>
          <w:sz w:val="36"/>
          <w:szCs w:val="36"/>
        </w:rPr>
      </w:pPr>
    </w:p>
    <w:p w14:paraId="4761B7B4" w14:textId="77777777" w:rsidR="007C1947" w:rsidRDefault="007C1947" w:rsidP="007C1947">
      <w:pPr>
        <w:pStyle w:val="p1"/>
        <w:rPr>
          <w:color w:val="000000" w:themeColor="text1"/>
          <w:sz w:val="24"/>
          <w:szCs w:val="24"/>
        </w:rPr>
      </w:pPr>
      <w:r w:rsidRPr="007C1947">
        <w:rPr>
          <w:color w:val="000000" w:themeColor="text1"/>
          <w:sz w:val="24"/>
          <w:szCs w:val="24"/>
        </w:rPr>
        <w:t xml:space="preserve">The project intends to </w:t>
      </w:r>
      <w:r>
        <w:rPr>
          <w:color w:val="000000" w:themeColor="text1"/>
          <w:sz w:val="24"/>
          <w:szCs w:val="24"/>
        </w:rPr>
        <w:t>contribute to:</w:t>
      </w:r>
    </w:p>
    <w:p w14:paraId="187B8A09" w14:textId="2DB93DC3" w:rsidR="007C1947" w:rsidRDefault="000F77FD" w:rsidP="007C1947">
      <w:pPr>
        <w:pStyle w:val="p1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</w:t>
      </w:r>
      <w:r w:rsidR="007C1947">
        <w:rPr>
          <w:color w:val="000000" w:themeColor="text1"/>
          <w:sz w:val="24"/>
          <w:szCs w:val="24"/>
        </w:rPr>
        <w:t xml:space="preserve">he technical feasibility study for the extension of user capabilities of the ELI-Beamline ERIC RI, </w:t>
      </w:r>
      <w:r>
        <w:rPr>
          <w:color w:val="000000" w:themeColor="text1"/>
          <w:sz w:val="24"/>
          <w:szCs w:val="24"/>
        </w:rPr>
        <w:t>adding</w:t>
      </w:r>
      <w:r w:rsidR="007C1947">
        <w:rPr>
          <w:color w:val="000000" w:themeColor="text1"/>
          <w:sz w:val="24"/>
          <w:szCs w:val="24"/>
        </w:rPr>
        <w:t xml:space="preserve"> stable, </w:t>
      </w:r>
      <w:proofErr w:type="spellStart"/>
      <w:r w:rsidR="00245DD6">
        <w:rPr>
          <w:color w:val="000000" w:themeColor="text1"/>
          <w:sz w:val="24"/>
          <w:szCs w:val="24"/>
        </w:rPr>
        <w:t>tunable</w:t>
      </w:r>
      <w:proofErr w:type="spellEnd"/>
      <w:r w:rsidR="00245DD6">
        <w:rPr>
          <w:color w:val="000000" w:themeColor="text1"/>
          <w:sz w:val="24"/>
          <w:szCs w:val="24"/>
        </w:rPr>
        <w:t xml:space="preserve">, </w:t>
      </w:r>
      <w:r w:rsidR="007C1947">
        <w:rPr>
          <w:color w:val="000000" w:themeColor="text1"/>
          <w:sz w:val="24"/>
          <w:szCs w:val="24"/>
        </w:rPr>
        <w:t>high-brightness, high-quality e-beams</w:t>
      </w:r>
      <w:r>
        <w:rPr>
          <w:color w:val="000000" w:themeColor="text1"/>
          <w:sz w:val="24"/>
          <w:szCs w:val="24"/>
        </w:rPr>
        <w:t xml:space="preserve"> to </w:t>
      </w:r>
      <w:r w:rsidR="00245DD6">
        <w:rPr>
          <w:color w:val="000000" w:themeColor="text1"/>
          <w:sz w:val="24"/>
          <w:szCs w:val="24"/>
        </w:rPr>
        <w:t xml:space="preserve">the </w:t>
      </w:r>
      <w:r>
        <w:rPr>
          <w:color w:val="000000" w:themeColor="text1"/>
          <w:sz w:val="24"/>
          <w:szCs w:val="24"/>
        </w:rPr>
        <w:t>existing radiation facilities</w:t>
      </w:r>
    </w:p>
    <w:p w14:paraId="1AB18820" w14:textId="2E7328D7" w:rsidR="007C1947" w:rsidRDefault="000F77FD" w:rsidP="007C1947">
      <w:pPr>
        <w:pStyle w:val="p1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improved</w:t>
      </w:r>
      <w:r w:rsidR="007C194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opportunities</w:t>
      </w:r>
      <w:r w:rsidR="007C194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for European frontier in research and innovation at ELI</w:t>
      </w:r>
      <w:r w:rsidR="007C1947">
        <w:rPr>
          <w:color w:val="000000" w:themeColor="text1"/>
          <w:sz w:val="24"/>
          <w:szCs w:val="24"/>
        </w:rPr>
        <w:t xml:space="preserve">-Beamline, in </w:t>
      </w:r>
      <w:r>
        <w:rPr>
          <w:color w:val="000000" w:themeColor="text1"/>
          <w:sz w:val="24"/>
          <w:szCs w:val="24"/>
        </w:rPr>
        <w:t xml:space="preserve">strong </w:t>
      </w:r>
      <w:r w:rsidR="007C1947">
        <w:rPr>
          <w:color w:val="000000" w:themeColor="text1"/>
          <w:sz w:val="24"/>
          <w:szCs w:val="24"/>
        </w:rPr>
        <w:t>collaboration with other ESFRI RIs</w:t>
      </w:r>
      <w:r>
        <w:rPr>
          <w:color w:val="000000" w:themeColor="text1"/>
          <w:sz w:val="24"/>
          <w:szCs w:val="24"/>
        </w:rPr>
        <w:t xml:space="preserve">, </w:t>
      </w:r>
      <w:r w:rsidR="007C1947">
        <w:rPr>
          <w:color w:val="000000" w:themeColor="text1"/>
          <w:sz w:val="24"/>
          <w:szCs w:val="24"/>
        </w:rPr>
        <w:t>European research institutions</w:t>
      </w:r>
      <w:r>
        <w:rPr>
          <w:color w:val="000000" w:themeColor="text1"/>
          <w:sz w:val="24"/>
          <w:szCs w:val="24"/>
        </w:rPr>
        <w:t xml:space="preserve"> and Industry</w:t>
      </w:r>
      <w:r w:rsidR="00990D9B">
        <w:rPr>
          <w:color w:val="000000" w:themeColor="text1"/>
          <w:sz w:val="24"/>
          <w:szCs w:val="24"/>
        </w:rPr>
        <w:t>, exploring innovative and breakthrough solutions, to be added in future to RI service catalogue</w:t>
      </w:r>
    </w:p>
    <w:p w14:paraId="32DEFC26" w14:textId="0FAFD1DF" w:rsidR="007C1947" w:rsidRDefault="007C1947" w:rsidP="007C1947">
      <w:pPr>
        <w:pStyle w:val="p1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increase ELI-Beamline attractivity to the European academic and industrial user community, expanding its offer</w:t>
      </w:r>
      <w:r w:rsidR="00990D9B">
        <w:rPr>
          <w:color w:val="000000" w:themeColor="text1"/>
          <w:sz w:val="24"/>
          <w:szCs w:val="24"/>
        </w:rPr>
        <w:t xml:space="preserve"> and providing more tools to societal applications</w:t>
      </w:r>
    </w:p>
    <w:p w14:paraId="3ABE48FC" w14:textId="1B9281AF" w:rsidR="000F77FD" w:rsidRPr="000F77FD" w:rsidRDefault="000F77FD" w:rsidP="000F77FD">
      <w:pPr>
        <w:pStyle w:val="p1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exploiting innovative schemes for the acceleration of e-beams using </w:t>
      </w:r>
      <w:r w:rsidRPr="000F77FD">
        <w:rPr>
          <w:color w:val="000000" w:themeColor="text1"/>
          <w:sz w:val="24"/>
          <w:szCs w:val="24"/>
        </w:rPr>
        <w:t xml:space="preserve">less energy </w:t>
      </w:r>
    </w:p>
    <w:p w14:paraId="58D66C6D" w14:textId="3BF10B4D" w:rsidR="000F77FD" w:rsidRDefault="000F77FD" w:rsidP="007C1947">
      <w:pPr>
        <w:pStyle w:val="p1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maximise the use of existing resources and know-how, at ELI-Beamline and in the collaborating institutes, to achieve a stronger sustainability</w:t>
      </w:r>
    </w:p>
    <w:p w14:paraId="61D1BEE4" w14:textId="77777777" w:rsidR="00990D9B" w:rsidRDefault="00990D9B" w:rsidP="00990D9B">
      <w:pPr>
        <w:pStyle w:val="p1"/>
        <w:rPr>
          <w:color w:val="000000" w:themeColor="text1"/>
          <w:sz w:val="24"/>
          <w:szCs w:val="24"/>
        </w:rPr>
      </w:pPr>
    </w:p>
    <w:p w14:paraId="368BBD23" w14:textId="77777777" w:rsidR="00990D9B" w:rsidRDefault="00990D9B" w:rsidP="00990D9B">
      <w:pPr>
        <w:pStyle w:val="p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 the proposal, STRIDE will demonstrate that the proposed technical feasibility study of the ELI-Beamline extension:</w:t>
      </w:r>
    </w:p>
    <w:p w14:paraId="009B43FF" w14:textId="2B017E5F" w:rsidR="00990D9B" w:rsidRDefault="00990D9B" w:rsidP="00990D9B">
      <w:pPr>
        <w:pStyle w:val="p1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represents a state-of-the-art project, with no </w:t>
      </w:r>
      <w:r w:rsidR="00245DD6">
        <w:rPr>
          <w:color w:val="000000" w:themeColor="text1"/>
          <w:sz w:val="24"/>
          <w:szCs w:val="24"/>
        </w:rPr>
        <w:t>other examples</w:t>
      </w:r>
      <w:r>
        <w:rPr>
          <w:color w:val="000000" w:themeColor="text1"/>
          <w:sz w:val="24"/>
          <w:szCs w:val="24"/>
        </w:rPr>
        <w:t xml:space="preserve"> in European landscape and </w:t>
      </w:r>
      <w:r w:rsidR="00245DD6">
        <w:rPr>
          <w:color w:val="000000" w:themeColor="text1"/>
          <w:sz w:val="24"/>
          <w:szCs w:val="24"/>
        </w:rPr>
        <w:t xml:space="preserve">the program </w:t>
      </w:r>
      <w:r>
        <w:rPr>
          <w:color w:val="000000" w:themeColor="text1"/>
          <w:sz w:val="24"/>
          <w:szCs w:val="24"/>
        </w:rPr>
        <w:t>challenges similar projects in US and China</w:t>
      </w:r>
      <w:r w:rsidR="00245DD6">
        <w:rPr>
          <w:color w:val="000000" w:themeColor="text1"/>
          <w:sz w:val="24"/>
          <w:szCs w:val="24"/>
        </w:rPr>
        <w:t>, with challenging co-partnerships programs also for European industry</w:t>
      </w:r>
    </w:p>
    <w:p w14:paraId="0D45531B" w14:textId="3A9C9538" w:rsidR="00990D9B" w:rsidRDefault="00990D9B" w:rsidP="00990D9B">
      <w:pPr>
        <w:pStyle w:val="p1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is fully synergic with the activities other ESFRI RIs (e.g. EuPRAXIA, a 2021 Roadmap project) and benefits from a </w:t>
      </w:r>
      <w:r w:rsidR="00B00991">
        <w:rPr>
          <w:color w:val="000000" w:themeColor="text1"/>
          <w:sz w:val="24"/>
          <w:szCs w:val="24"/>
        </w:rPr>
        <w:t xml:space="preserve">successful decade of </w:t>
      </w:r>
      <w:r>
        <w:rPr>
          <w:color w:val="000000" w:themeColor="text1"/>
          <w:sz w:val="24"/>
          <w:szCs w:val="24"/>
        </w:rPr>
        <w:t>integrated collaboration on specific items</w:t>
      </w:r>
    </w:p>
    <w:p w14:paraId="6B121936" w14:textId="364E2A14" w:rsidR="00990D9B" w:rsidRDefault="00B00991" w:rsidP="00990D9B">
      <w:pPr>
        <w:pStyle w:val="p1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will analyse the user communities that can make use of new available extension, enlarging the RI scientific power reach</w:t>
      </w:r>
    </w:p>
    <w:p w14:paraId="0E80439D" w14:textId="66814BC9" w:rsidR="00B00991" w:rsidRDefault="00B00991" w:rsidP="00990D9B">
      <w:pPr>
        <w:pStyle w:val="p1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evaluates the economic impact of the implementation, providing hints for a </w:t>
      </w:r>
      <w:r w:rsidR="00245DD6">
        <w:rPr>
          <w:color w:val="000000" w:themeColor="text1"/>
          <w:sz w:val="24"/>
          <w:szCs w:val="24"/>
        </w:rPr>
        <w:t>long-term</w:t>
      </w:r>
      <w:r w:rsidR="00152A8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sustainable coexistence of both present and new infrastructures</w:t>
      </w:r>
    </w:p>
    <w:p w14:paraId="4EAAD127" w14:textId="078A4601" w:rsidR="00B00991" w:rsidRDefault="00152A8B" w:rsidP="00990D9B">
      <w:pPr>
        <w:pStyle w:val="p1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will make use of existing ELI-Beamline FAIR best practices in data collection, curation and preservation, to include new opportunities from outlined extension</w:t>
      </w:r>
    </w:p>
    <w:p w14:paraId="29DC0480" w14:textId="5D8DB7E3" w:rsidR="00152A8B" w:rsidRDefault="00152A8B" w:rsidP="00990D9B">
      <w:pPr>
        <w:pStyle w:val="p1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will identify strategic approach with existing and future institutional stakeholders to ensure maximum support from RI members and from new collaborators</w:t>
      </w:r>
    </w:p>
    <w:p w14:paraId="516020E2" w14:textId="77777777" w:rsidR="00774AEA" w:rsidRDefault="00774AEA">
      <w:pPr>
        <w:rPr>
          <w:color w:val="EE0000"/>
        </w:rPr>
      </w:pPr>
    </w:p>
    <w:p w14:paraId="54D82EDF" w14:textId="048B11EF" w:rsidR="00245DD6" w:rsidRDefault="00245DD6">
      <w:pPr>
        <w:rPr>
          <w:color w:val="EE0000"/>
        </w:rPr>
      </w:pPr>
      <w:r>
        <w:rPr>
          <w:color w:val="EE0000"/>
        </w:rPr>
        <w:br w:type="page"/>
      </w:r>
    </w:p>
    <w:p w14:paraId="663BA708" w14:textId="6928A472" w:rsidR="00245DD6" w:rsidRPr="00A40FCF" w:rsidRDefault="00245DD6">
      <w:pPr>
        <w:rPr>
          <w:rFonts w:ascii="Helvetica" w:hAnsi="Helvetica"/>
          <w:b/>
          <w:bCs/>
          <w:color w:val="EE0000"/>
          <w:sz w:val="28"/>
          <w:szCs w:val="28"/>
        </w:rPr>
      </w:pPr>
      <w:r w:rsidRPr="00A40FCF">
        <w:rPr>
          <w:rFonts w:ascii="Helvetica" w:hAnsi="Helvetica"/>
          <w:b/>
          <w:bCs/>
          <w:color w:val="EE0000"/>
          <w:sz w:val="28"/>
          <w:szCs w:val="28"/>
        </w:rPr>
        <w:lastRenderedPageBreak/>
        <w:t>Work Packages</w:t>
      </w:r>
    </w:p>
    <w:p w14:paraId="59806BD4" w14:textId="4189FB32" w:rsidR="00245DD6" w:rsidRPr="00A40FCF" w:rsidRDefault="00F22C3F" w:rsidP="00245DD6">
      <w:pPr>
        <w:pStyle w:val="ListParagraph"/>
        <w:numPr>
          <w:ilvl w:val="0"/>
          <w:numId w:val="3"/>
        </w:numPr>
        <w:rPr>
          <w:rFonts w:ascii="Helvetica" w:hAnsi="Helvetica"/>
          <w:color w:val="EE0000"/>
          <w:sz w:val="28"/>
          <w:szCs w:val="28"/>
        </w:rPr>
      </w:pPr>
      <w:r w:rsidRPr="00A40FCF">
        <w:rPr>
          <w:rFonts w:ascii="Helvetica" w:hAnsi="Helvetica"/>
          <w:color w:val="EE0000"/>
          <w:sz w:val="28"/>
          <w:szCs w:val="28"/>
        </w:rPr>
        <w:t xml:space="preserve">Coordination &amp; </w:t>
      </w:r>
      <w:r w:rsidR="00245DD6" w:rsidRPr="00A40FCF">
        <w:rPr>
          <w:rFonts w:ascii="Helvetica" w:hAnsi="Helvetica"/>
          <w:color w:val="EE0000"/>
          <w:sz w:val="28"/>
          <w:szCs w:val="28"/>
        </w:rPr>
        <w:t>Project Management</w:t>
      </w:r>
    </w:p>
    <w:p w14:paraId="05E848E9" w14:textId="3E208935" w:rsidR="00F22C3F" w:rsidRPr="00A40FCF" w:rsidRDefault="00F22C3F" w:rsidP="00245DD6">
      <w:pPr>
        <w:pStyle w:val="ListParagraph"/>
        <w:numPr>
          <w:ilvl w:val="0"/>
          <w:numId w:val="3"/>
        </w:numPr>
        <w:rPr>
          <w:rFonts w:ascii="Helvetica" w:hAnsi="Helvetica"/>
          <w:color w:val="EE0000"/>
          <w:sz w:val="28"/>
          <w:szCs w:val="28"/>
        </w:rPr>
      </w:pPr>
      <w:r w:rsidRPr="00A40FCF">
        <w:rPr>
          <w:rFonts w:ascii="Helvetica" w:hAnsi="Helvetica"/>
          <w:color w:val="EE0000"/>
          <w:sz w:val="28"/>
          <w:szCs w:val="28"/>
        </w:rPr>
        <w:t>Implementation in existing RI and widening</w:t>
      </w:r>
    </w:p>
    <w:p w14:paraId="7AF7ED08" w14:textId="418346BB" w:rsidR="00A40FCF" w:rsidRPr="00A40FCF" w:rsidRDefault="00A40FCF" w:rsidP="00A40FCF">
      <w:pPr>
        <w:pStyle w:val="ListParagraph"/>
        <w:rPr>
          <w:rFonts w:ascii="Helvetica" w:hAnsi="Helvetica"/>
          <w:color w:val="000000" w:themeColor="text1"/>
        </w:rPr>
      </w:pPr>
      <w:r w:rsidRPr="00A40FCF">
        <w:rPr>
          <w:rFonts w:ascii="Helvetica" w:hAnsi="Helvetica"/>
          <w:color w:val="000000" w:themeColor="text1"/>
        </w:rPr>
        <w:t>(technical, economical and governance aspects of implementing the extension in ELI-ERIC)</w:t>
      </w:r>
    </w:p>
    <w:p w14:paraId="60F6ED16" w14:textId="6B2A275D" w:rsidR="00245DD6" w:rsidRPr="00A40FCF" w:rsidRDefault="00245DD6" w:rsidP="00245DD6">
      <w:pPr>
        <w:pStyle w:val="ListParagraph"/>
        <w:numPr>
          <w:ilvl w:val="0"/>
          <w:numId w:val="3"/>
        </w:numPr>
        <w:rPr>
          <w:rFonts w:ascii="Helvetica" w:hAnsi="Helvetica"/>
          <w:color w:val="EE0000"/>
          <w:sz w:val="28"/>
          <w:szCs w:val="28"/>
        </w:rPr>
      </w:pPr>
      <w:r w:rsidRPr="00A40FCF">
        <w:rPr>
          <w:rFonts w:ascii="Helvetica" w:hAnsi="Helvetica"/>
          <w:color w:val="EE0000"/>
          <w:sz w:val="28"/>
          <w:szCs w:val="28"/>
        </w:rPr>
        <w:t>Dissemination &amp; training</w:t>
      </w:r>
    </w:p>
    <w:p w14:paraId="4EE352E2" w14:textId="7CAC0AB5" w:rsidR="00245DD6" w:rsidRPr="00A40FCF" w:rsidRDefault="00245DD6" w:rsidP="00245DD6">
      <w:pPr>
        <w:pStyle w:val="ListParagraph"/>
        <w:numPr>
          <w:ilvl w:val="0"/>
          <w:numId w:val="3"/>
        </w:numPr>
        <w:rPr>
          <w:rFonts w:ascii="Helvetica" w:hAnsi="Helvetica"/>
          <w:color w:val="EE0000"/>
          <w:sz w:val="28"/>
          <w:szCs w:val="28"/>
        </w:rPr>
      </w:pPr>
      <w:r w:rsidRPr="00A40FCF">
        <w:rPr>
          <w:rFonts w:ascii="Helvetica" w:hAnsi="Helvetica"/>
          <w:color w:val="EE0000"/>
          <w:sz w:val="28"/>
          <w:szCs w:val="28"/>
        </w:rPr>
        <w:t>Laser development</w:t>
      </w:r>
    </w:p>
    <w:p w14:paraId="46314FA7" w14:textId="3C142EC0" w:rsidR="00245DD6" w:rsidRPr="00A40FCF" w:rsidRDefault="00F22C3F" w:rsidP="00245DD6">
      <w:pPr>
        <w:pStyle w:val="ListParagraph"/>
        <w:numPr>
          <w:ilvl w:val="0"/>
          <w:numId w:val="3"/>
        </w:numPr>
        <w:rPr>
          <w:rFonts w:ascii="Helvetica" w:hAnsi="Helvetica"/>
          <w:color w:val="EE0000"/>
          <w:sz w:val="28"/>
          <w:szCs w:val="28"/>
        </w:rPr>
      </w:pPr>
      <w:r w:rsidRPr="00A40FCF">
        <w:rPr>
          <w:rFonts w:ascii="Helvetica" w:hAnsi="Helvetica"/>
          <w:color w:val="EE0000"/>
          <w:sz w:val="28"/>
          <w:szCs w:val="28"/>
        </w:rPr>
        <w:t>LPA scheme development</w:t>
      </w:r>
    </w:p>
    <w:p w14:paraId="09E6DC53" w14:textId="0C25193E" w:rsidR="00F22C3F" w:rsidRPr="00A40FCF" w:rsidRDefault="00F22C3F" w:rsidP="00245DD6">
      <w:pPr>
        <w:pStyle w:val="ListParagraph"/>
        <w:numPr>
          <w:ilvl w:val="0"/>
          <w:numId w:val="3"/>
        </w:numPr>
        <w:rPr>
          <w:rFonts w:ascii="Helvetica" w:hAnsi="Helvetica"/>
          <w:color w:val="EE0000"/>
          <w:sz w:val="28"/>
          <w:szCs w:val="28"/>
        </w:rPr>
      </w:pPr>
      <w:r w:rsidRPr="00A40FCF">
        <w:rPr>
          <w:rFonts w:ascii="Helvetica" w:hAnsi="Helvetica"/>
          <w:color w:val="EE0000"/>
          <w:sz w:val="28"/>
          <w:szCs w:val="28"/>
        </w:rPr>
        <w:t>Theory, simulation and AI integration</w:t>
      </w:r>
    </w:p>
    <w:p w14:paraId="483165BC" w14:textId="222081A3" w:rsidR="00F22C3F" w:rsidRPr="00A40FCF" w:rsidRDefault="00F22C3F" w:rsidP="00245DD6">
      <w:pPr>
        <w:pStyle w:val="ListParagraph"/>
        <w:numPr>
          <w:ilvl w:val="0"/>
          <w:numId w:val="3"/>
        </w:numPr>
        <w:rPr>
          <w:rFonts w:ascii="Helvetica" w:hAnsi="Helvetica"/>
          <w:color w:val="EE0000"/>
          <w:sz w:val="28"/>
          <w:szCs w:val="28"/>
        </w:rPr>
      </w:pPr>
      <w:r w:rsidRPr="00A40FCF">
        <w:rPr>
          <w:rFonts w:ascii="Helvetica" w:hAnsi="Helvetica"/>
          <w:color w:val="EE0000"/>
          <w:sz w:val="28"/>
          <w:szCs w:val="28"/>
        </w:rPr>
        <w:t>Liaison to industrial innovation</w:t>
      </w:r>
    </w:p>
    <w:p w14:paraId="1F4C9E49" w14:textId="3A8346BA" w:rsidR="00A40FCF" w:rsidRPr="00A40FCF" w:rsidRDefault="00F22C3F" w:rsidP="00245DD6">
      <w:pPr>
        <w:pStyle w:val="ListParagraph"/>
        <w:numPr>
          <w:ilvl w:val="0"/>
          <w:numId w:val="3"/>
        </w:numPr>
        <w:rPr>
          <w:rFonts w:ascii="Helvetica" w:hAnsi="Helvetica"/>
          <w:color w:val="EE0000"/>
          <w:sz w:val="28"/>
          <w:szCs w:val="28"/>
        </w:rPr>
      </w:pPr>
      <w:r w:rsidRPr="00A40FCF">
        <w:rPr>
          <w:rFonts w:ascii="Helvetica" w:hAnsi="Helvetica"/>
          <w:color w:val="EE0000"/>
          <w:sz w:val="28"/>
          <w:szCs w:val="28"/>
        </w:rPr>
        <w:t>Applications</w:t>
      </w:r>
    </w:p>
    <w:p w14:paraId="193AA309" w14:textId="7940FC23" w:rsidR="00A40FCF" w:rsidRPr="00A40FCF" w:rsidRDefault="00A40FCF" w:rsidP="00A40FCF">
      <w:pPr>
        <w:pStyle w:val="ListParagraph"/>
        <w:numPr>
          <w:ilvl w:val="0"/>
          <w:numId w:val="3"/>
        </w:numPr>
        <w:rPr>
          <w:rFonts w:ascii="Helvetica" w:hAnsi="Helvetica"/>
          <w:color w:val="EE0000"/>
          <w:sz w:val="28"/>
          <w:szCs w:val="28"/>
        </w:rPr>
      </w:pPr>
      <w:r w:rsidRPr="00A40FCF">
        <w:rPr>
          <w:rFonts w:ascii="Helvetica" w:hAnsi="Helvetica"/>
          <w:color w:val="EE0000"/>
          <w:sz w:val="28"/>
          <w:szCs w:val="28"/>
        </w:rPr>
        <w:t>U</w:t>
      </w:r>
      <w:r w:rsidR="00F22C3F" w:rsidRPr="00A40FCF">
        <w:rPr>
          <w:rFonts w:ascii="Helvetica" w:hAnsi="Helvetica"/>
          <w:color w:val="EE0000"/>
          <w:sz w:val="28"/>
          <w:szCs w:val="28"/>
        </w:rPr>
        <w:t xml:space="preserve">ser strategy and services </w:t>
      </w:r>
    </w:p>
    <w:p w14:paraId="57E58D3E" w14:textId="080BBA33" w:rsidR="00A40FCF" w:rsidRPr="00A40FCF" w:rsidRDefault="00A40FCF" w:rsidP="00A40FCF">
      <w:pPr>
        <w:pStyle w:val="ListParagraph"/>
        <w:numPr>
          <w:ilvl w:val="0"/>
          <w:numId w:val="3"/>
        </w:numPr>
        <w:ind w:left="567"/>
        <w:rPr>
          <w:rFonts w:ascii="Helvetica" w:hAnsi="Helvetica"/>
          <w:color w:val="EE0000"/>
          <w:sz w:val="28"/>
          <w:szCs w:val="28"/>
        </w:rPr>
      </w:pPr>
      <w:r w:rsidRPr="00A40FCF">
        <w:rPr>
          <w:rFonts w:ascii="Helvetica" w:hAnsi="Helvetica"/>
          <w:color w:val="EE0000"/>
          <w:sz w:val="28"/>
          <w:szCs w:val="28"/>
        </w:rPr>
        <w:t>Sustainability strategy</w:t>
      </w:r>
    </w:p>
    <w:sectPr w:rsidR="00A40FCF" w:rsidRPr="00A40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640" w:hanging="291"/>
      </w:pPr>
      <w:rPr>
        <w:rFonts w:ascii="Symbol" w:hAnsi="Symbol" w:cs="Symbol"/>
        <w:b w:val="0"/>
        <w:bCs w:val="0"/>
        <w:i w:val="0"/>
        <w:iCs w:val="0"/>
        <w:spacing w:val="0"/>
        <w:w w:val="76"/>
        <w:sz w:val="24"/>
        <w:szCs w:val="24"/>
      </w:rPr>
    </w:lvl>
    <w:lvl w:ilvl="1">
      <w:numFmt w:val="bullet"/>
      <w:lvlText w:val="ï"/>
      <w:lvlJc w:val="left"/>
      <w:pPr>
        <w:ind w:left="1511" w:hanging="291"/>
      </w:pPr>
    </w:lvl>
    <w:lvl w:ilvl="2">
      <w:numFmt w:val="bullet"/>
      <w:lvlText w:val="ï"/>
      <w:lvlJc w:val="left"/>
      <w:pPr>
        <w:ind w:left="2383" w:hanging="291"/>
      </w:pPr>
    </w:lvl>
    <w:lvl w:ilvl="3">
      <w:numFmt w:val="bullet"/>
      <w:lvlText w:val="ï"/>
      <w:lvlJc w:val="left"/>
      <w:pPr>
        <w:ind w:left="3254" w:hanging="291"/>
      </w:pPr>
    </w:lvl>
    <w:lvl w:ilvl="4">
      <w:numFmt w:val="bullet"/>
      <w:lvlText w:val="ï"/>
      <w:lvlJc w:val="left"/>
      <w:pPr>
        <w:ind w:left="4126" w:hanging="291"/>
      </w:pPr>
    </w:lvl>
    <w:lvl w:ilvl="5">
      <w:numFmt w:val="bullet"/>
      <w:lvlText w:val="ï"/>
      <w:lvlJc w:val="left"/>
      <w:pPr>
        <w:ind w:left="4998" w:hanging="291"/>
      </w:pPr>
    </w:lvl>
    <w:lvl w:ilvl="6">
      <w:numFmt w:val="bullet"/>
      <w:lvlText w:val="ï"/>
      <w:lvlJc w:val="left"/>
      <w:pPr>
        <w:ind w:left="5869" w:hanging="291"/>
      </w:pPr>
    </w:lvl>
    <w:lvl w:ilvl="7">
      <w:numFmt w:val="bullet"/>
      <w:lvlText w:val="ï"/>
      <w:lvlJc w:val="left"/>
      <w:pPr>
        <w:ind w:left="6741" w:hanging="291"/>
      </w:pPr>
    </w:lvl>
    <w:lvl w:ilvl="8">
      <w:numFmt w:val="bullet"/>
      <w:lvlText w:val="ï"/>
      <w:lvlJc w:val="left"/>
      <w:pPr>
        <w:ind w:left="7613" w:hanging="291"/>
      </w:pPr>
    </w:lvl>
  </w:abstractNum>
  <w:abstractNum w:abstractNumId="1" w15:restartNumberingAfterBreak="0">
    <w:nsid w:val="571167BA"/>
    <w:multiLevelType w:val="hybridMultilevel"/>
    <w:tmpl w:val="17C43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85C75"/>
    <w:multiLevelType w:val="hybridMultilevel"/>
    <w:tmpl w:val="395CF13E"/>
    <w:lvl w:ilvl="0" w:tplc="0C0CAEAA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97729">
    <w:abstractNumId w:val="2"/>
  </w:num>
  <w:num w:numId="2" w16cid:durableId="1813980650">
    <w:abstractNumId w:val="0"/>
  </w:num>
  <w:num w:numId="3" w16cid:durableId="46343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47"/>
    <w:rsid w:val="000F77FD"/>
    <w:rsid w:val="00152A8B"/>
    <w:rsid w:val="00245DD6"/>
    <w:rsid w:val="00774AEA"/>
    <w:rsid w:val="007C1947"/>
    <w:rsid w:val="00955C01"/>
    <w:rsid w:val="00990D9B"/>
    <w:rsid w:val="00A40FCF"/>
    <w:rsid w:val="00B00991"/>
    <w:rsid w:val="00B7615F"/>
    <w:rsid w:val="00BB75EA"/>
    <w:rsid w:val="00F22C3F"/>
    <w:rsid w:val="00F3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CB92B"/>
  <w15:chartTrackingRefBased/>
  <w15:docId w15:val="{B7DB5E52-F5EE-9543-8505-9783379D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9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9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9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9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9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9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94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C1947"/>
    <w:rPr>
      <w:rFonts w:ascii="Helvetica" w:eastAsia="Times New Roman" w:hAnsi="Helvetica" w:cs="Times New Roman"/>
      <w:color w:val="FFFFFF"/>
      <w:kern w:val="0"/>
      <w:sz w:val="44"/>
      <w:szCs w:val="4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Campana</dc:creator>
  <cp:keywords/>
  <dc:description/>
  <cp:lastModifiedBy>Pierluigi Campana</cp:lastModifiedBy>
  <cp:revision>3</cp:revision>
  <dcterms:created xsi:type="dcterms:W3CDTF">2026-04-30T18:25:00Z</dcterms:created>
  <dcterms:modified xsi:type="dcterms:W3CDTF">2026-04-30T20:33:00Z</dcterms:modified>
</cp:coreProperties>
</file>