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4EBCA" w14:textId="6C11E63B" w:rsidR="007F7473" w:rsidRDefault="00DA5E7B">
      <w:pPr>
        <w:rPr>
          <w:lang w:val="it-IT"/>
        </w:rPr>
      </w:pPr>
      <w:r>
        <w:rPr>
          <w:lang w:val="it-IT"/>
        </w:rPr>
        <w:t>Minute riunione n.17 CoPER Openscience 20230215</w:t>
      </w:r>
    </w:p>
    <w:p w14:paraId="3F29AD4F" w14:textId="20D9A8C2" w:rsidR="00DA5E7B" w:rsidRDefault="00DA5E7B">
      <w:pPr>
        <w:rPr>
          <w:lang w:val="it-IT"/>
        </w:rPr>
      </w:pPr>
      <w:r>
        <w:rPr>
          <w:lang w:val="it-IT"/>
        </w:rPr>
        <w:t>Presenti: S.Bianco, M.Locati, R.Vigni, ………(</w:t>
      </w:r>
      <w:r w:rsidRPr="00DA5E7B">
        <w:rPr>
          <w:highlight w:val="yellow"/>
          <w:lang w:val="it-IT"/>
        </w:rPr>
        <w:t>completare</w:t>
      </w:r>
      <w:r>
        <w:rPr>
          <w:lang w:val="it-IT"/>
        </w:rPr>
        <w:t>)</w:t>
      </w:r>
    </w:p>
    <w:p w14:paraId="592BDC30" w14:textId="02AB02BF" w:rsidR="00DA5E7B" w:rsidRDefault="00DA5E7B">
      <w:pPr>
        <w:rPr>
          <w:lang w:val="it-IT"/>
        </w:rPr>
      </w:pPr>
    </w:p>
    <w:p w14:paraId="7594FCAD" w14:textId="6FAE67E4" w:rsidR="00DA5E7B" w:rsidRDefault="00DA5E7B">
      <w:pPr>
        <w:rPr>
          <w:lang w:val="it-IT"/>
        </w:rPr>
      </w:pPr>
    </w:p>
    <w:p w14:paraId="10D48E17" w14:textId="382E7D0E" w:rsidR="00DA5E7B" w:rsidRPr="00D13CCB" w:rsidRDefault="00DA5E7B">
      <w:pPr>
        <w:rPr>
          <w:b/>
          <w:bCs/>
          <w:lang w:val="it-IT"/>
        </w:rPr>
      </w:pPr>
      <w:r w:rsidRPr="00D13CCB">
        <w:rPr>
          <w:b/>
          <w:bCs/>
          <w:lang w:val="it-IT"/>
        </w:rPr>
        <w:t>Aggiornamenti</w:t>
      </w:r>
    </w:p>
    <w:p w14:paraId="6A80484B" w14:textId="4B650E0E" w:rsidR="00DA5E7B" w:rsidRPr="004E0900" w:rsidRDefault="00DA5E7B">
      <w:r>
        <w:rPr>
          <w:lang w:val="it-IT"/>
        </w:rPr>
        <w:t xml:space="preserve"> Riunione della CoPER 6 febbraio incentrata sull’ incontro con la Ministra. Documento Prossimi Passi distribuito ma non commentato,  sono stati elencati i gruppi di lavoro evidenziando quelli non piu’ attivi. Il gdl Valutazione ha terminato i lavori. Occorre mettersi in contatto con i pochi EPR che non ci hanno ancora fornito referenti OS. Una volta riformato il gdl Valutazione, proporre insieme ad esso adesione a riforma valutazione. Nel frattempo produrre la lista dei firmatari dell’agreement (</w:t>
      </w:r>
      <w:r w:rsidR="004E0900">
        <w:rPr>
          <w:lang w:val="it-IT"/>
        </w:rPr>
        <w:t>Bianco, Chiodetti, Locati</w:t>
      </w:r>
      <w:r w:rsidR="00D13CCB">
        <w:rPr>
          <w:lang w:val="it-IT"/>
        </w:rPr>
        <w:t xml:space="preserve"> vedi in calce). </w:t>
      </w:r>
      <w:r>
        <w:rPr>
          <w:lang w:val="it-IT"/>
        </w:rPr>
        <w:t>Con il nulla osta del Presidente, inviato successivamente (2022</w:t>
      </w:r>
      <w:r w:rsidR="00BC14CC">
        <w:rPr>
          <w:lang w:val="it-IT"/>
        </w:rPr>
        <w:t>.</w:t>
      </w:r>
      <w:r>
        <w:rPr>
          <w:lang w:val="it-IT"/>
        </w:rPr>
        <w:t>02</w:t>
      </w:r>
      <w:r w:rsidR="00BC14CC">
        <w:rPr>
          <w:lang w:val="it-IT"/>
        </w:rPr>
        <w:t>.</w:t>
      </w:r>
      <w:r>
        <w:rPr>
          <w:lang w:val="it-IT"/>
        </w:rPr>
        <w:t>21) documento PP a M.Mazzola il quale ha annunciato apertura di tavolo ministeriale che ci coinvolgera’. Il documento PP a breve verra’  dotato di DOI e reso pubblico</w:t>
      </w:r>
      <w:r w:rsidR="004E0900">
        <w:rPr>
          <w:lang w:val="it-IT"/>
        </w:rPr>
        <w:t xml:space="preserve"> (Bianco) [fatto, </w:t>
      </w:r>
      <w:hyperlink r:id="rId5" w:tgtFrame="_blank" w:history="1">
        <w:r w:rsidR="004E0900">
          <w:rPr>
            <w:rStyle w:val="Hyperlink"/>
            <w:rFonts w:ascii="Arial" w:hAnsi="Arial" w:cs="Arial"/>
            <w:color w:val="1155CC"/>
          </w:rPr>
          <w:t>https://doi.org/10.15161/oar.it/76963</w:t>
        </w:r>
      </w:hyperlink>
      <w:r w:rsidR="004E0900" w:rsidRPr="004E0900">
        <w:rPr>
          <w:lang w:val="it-IT"/>
        </w:rPr>
        <w:t xml:space="preserve"> </w:t>
      </w:r>
      <w:r w:rsidR="004E0900">
        <w:rPr>
          <w:lang w:val="it-IT"/>
        </w:rPr>
        <w:t>]</w:t>
      </w:r>
      <w:r>
        <w:rPr>
          <w:lang w:val="it-IT"/>
        </w:rPr>
        <w:t>. L’ incontro con Tivan per il monitoraggio APC e’ in preparazione. Durante la riunione CoPER e’ stato ripreso il problema del sito e almeno della mappatura dei gdl.</w:t>
      </w:r>
    </w:p>
    <w:p w14:paraId="0250A8FC" w14:textId="6B6F6B64" w:rsidR="00D13CCB" w:rsidRDefault="00D13CCB">
      <w:pPr>
        <w:rPr>
          <w:lang w:val="it-IT"/>
        </w:rPr>
      </w:pPr>
    </w:p>
    <w:p w14:paraId="7BC8B6FF" w14:textId="733A4947" w:rsidR="00D13CCB" w:rsidRPr="00D13CCB" w:rsidRDefault="00D13CCB">
      <w:pPr>
        <w:rPr>
          <w:b/>
          <w:bCs/>
          <w:lang w:val="it-IT"/>
        </w:rPr>
      </w:pPr>
      <w:r w:rsidRPr="00D13CCB">
        <w:rPr>
          <w:b/>
          <w:bCs/>
          <w:lang w:val="it-IT"/>
        </w:rPr>
        <w:t>Gruppi di lavoro</w:t>
      </w:r>
      <w:r w:rsidR="004E0900">
        <w:rPr>
          <w:b/>
          <w:bCs/>
          <w:lang w:val="it-IT"/>
        </w:rPr>
        <w:t xml:space="preserve"> (nome provvisorio)</w:t>
      </w:r>
      <w:r w:rsidRPr="00D13CCB">
        <w:rPr>
          <w:b/>
          <w:bCs/>
          <w:lang w:val="it-IT"/>
        </w:rPr>
        <w:t xml:space="preserve"> PP</w:t>
      </w:r>
    </w:p>
    <w:p w14:paraId="708390AB" w14:textId="41363D0A" w:rsidR="00D13CCB" w:rsidRDefault="00D13CCB">
      <w:pPr>
        <w:rPr>
          <w:lang w:val="it-IT"/>
        </w:rPr>
      </w:pPr>
      <w:r>
        <w:rPr>
          <w:lang w:val="it-IT"/>
        </w:rPr>
        <w:t xml:space="preserve"> Si chiedono volontari (alcuni trovati durante la riunione ma ancora possibile aderire via email). Attualmente:</w:t>
      </w:r>
    </w:p>
    <w:p w14:paraId="085E7889" w14:textId="07E3FDE6" w:rsidR="00D13CCB" w:rsidRPr="00D13CCB" w:rsidRDefault="00D13CCB" w:rsidP="00D13CCB">
      <w:pPr>
        <w:numPr>
          <w:ilvl w:val="0"/>
          <w:numId w:val="1"/>
        </w:numPr>
      </w:pPr>
      <w:r w:rsidRPr="00D13CCB">
        <w:t xml:space="preserve">Scienza aperta e Valutazione della ricerca – Susanna Terracini, Francesca Di Donato, </w:t>
      </w:r>
      <w:r w:rsidRPr="00D13CCB">
        <w:rPr>
          <w:strike/>
          <w:highlight w:val="yellow"/>
        </w:rPr>
        <w:t>Pasquale Lubrano, Francesco Lazzarini,</w:t>
      </w:r>
      <w:r w:rsidRPr="00D13CCB">
        <w:rPr>
          <w:highlight w:val="yellow"/>
        </w:rPr>
        <w:t xml:space="preserve"> </w:t>
      </w:r>
      <w:r w:rsidRPr="00D13CCB">
        <w:t>Paola Carrabba</w:t>
      </w:r>
      <w:r w:rsidR="00BC14CC" w:rsidRPr="00BC14CC">
        <w:rPr>
          <w:lang w:val="it-IT"/>
        </w:rPr>
        <w:t xml:space="preserve">, </w:t>
      </w:r>
      <w:r w:rsidR="00BC14CC">
        <w:rPr>
          <w:lang w:val="it-IT"/>
        </w:rPr>
        <w:t>?</w:t>
      </w:r>
    </w:p>
    <w:p w14:paraId="2B42E30F" w14:textId="3C078D85" w:rsidR="00D13CCB" w:rsidRPr="00D13CCB" w:rsidRDefault="00D13CCB" w:rsidP="00D13CCB">
      <w:pPr>
        <w:numPr>
          <w:ilvl w:val="0"/>
          <w:numId w:val="1"/>
        </w:numPr>
      </w:pPr>
      <w:r w:rsidRPr="00D13CCB">
        <w:t xml:space="preserve">Accesso equo e sostenibile alle pubblicazioni - </w:t>
      </w:r>
      <w:r w:rsidRPr="00D13CCB">
        <w:rPr>
          <w:lang w:val="it-IT"/>
        </w:rPr>
        <w:t xml:space="preserve"> Emanuela Secinaro (INRIM), Roberta Maggi (CNR), Silvia Giannini (ISTI-CNR), Anna Grazia Chiodetti, Antonella Gasperini, </w:t>
      </w:r>
      <w:r>
        <w:rPr>
          <w:lang w:val="it-IT"/>
        </w:rPr>
        <w:t xml:space="preserve">+ </w:t>
      </w:r>
      <w:r w:rsidRPr="00D13CCB">
        <w:rPr>
          <w:lang w:val="it-IT"/>
        </w:rPr>
        <w:t>?</w:t>
      </w:r>
    </w:p>
    <w:p w14:paraId="400D6E45" w14:textId="26FB2FF9" w:rsidR="00D13CCB" w:rsidRPr="00D13CCB" w:rsidRDefault="00D13CCB" w:rsidP="00D13CCB">
      <w:pPr>
        <w:numPr>
          <w:ilvl w:val="0"/>
          <w:numId w:val="1"/>
        </w:numPr>
      </w:pPr>
      <w:r w:rsidRPr="00D13CCB">
        <w:rPr>
          <w:lang w:val="it-IT"/>
        </w:rPr>
        <w:t>Diritto d’autore – Stefano Bianco, Roberto Caso, Filomena Severino, Federico</w:t>
      </w:r>
      <w:r>
        <w:rPr>
          <w:lang w:val="it-IT"/>
        </w:rPr>
        <w:t xml:space="preserve"> Binda (da confermare) </w:t>
      </w:r>
      <w:r w:rsidRPr="00D13CCB">
        <w:rPr>
          <w:lang w:val="it-IT"/>
        </w:rPr>
        <w:t>+</w:t>
      </w:r>
      <w:r w:rsidR="00BC14CC">
        <w:rPr>
          <w:lang w:val="it-IT"/>
        </w:rPr>
        <w:t xml:space="preserve"> </w:t>
      </w:r>
      <w:r w:rsidRPr="00D13CCB">
        <w:rPr>
          <w:lang w:val="it-IT"/>
        </w:rPr>
        <w:t>?</w:t>
      </w:r>
      <w:r w:rsidR="00BC14CC">
        <w:rPr>
          <w:lang w:val="it-IT"/>
        </w:rPr>
        <w:t xml:space="preserve"> annagrazia+mario hanno due candidati ****</w:t>
      </w:r>
    </w:p>
    <w:p w14:paraId="5E4C3344" w14:textId="518E1F8D" w:rsidR="00D13CCB" w:rsidRPr="00D13CCB" w:rsidRDefault="00D13CCB" w:rsidP="00D13CCB">
      <w:pPr>
        <w:numPr>
          <w:ilvl w:val="0"/>
          <w:numId w:val="1"/>
        </w:numPr>
      </w:pPr>
      <w:r w:rsidRPr="00D13CCB">
        <w:rPr>
          <w:lang w:val="it-IT"/>
        </w:rPr>
        <w:t>Open data – Mario Locati, Roberta Vigni, Angela Saraò (OGS), Alessandra Giorgetti (OGS), Carlo Cipolloni, V</w:t>
      </w:r>
      <w:r>
        <w:rPr>
          <w:lang w:val="it-IT"/>
        </w:rPr>
        <w:t>incenzo Patruno</w:t>
      </w:r>
      <w:r w:rsidRPr="00D13CCB">
        <w:rPr>
          <w:lang w:val="it-IT"/>
        </w:rPr>
        <w:t>, + ?</w:t>
      </w:r>
    </w:p>
    <w:p w14:paraId="3AD2A0FD" w14:textId="7D110E22" w:rsidR="00D13CCB" w:rsidRPr="00D13CCB" w:rsidRDefault="00D13CCB" w:rsidP="00D13CCB">
      <w:pPr>
        <w:numPr>
          <w:ilvl w:val="0"/>
          <w:numId w:val="1"/>
        </w:numPr>
      </w:pPr>
      <w:r w:rsidRPr="00D13CCB">
        <w:rPr>
          <w:lang w:val="it-IT"/>
        </w:rPr>
        <w:t xml:space="preserve">Software opensource - Massimo Carboni </w:t>
      </w:r>
      <w:r>
        <w:rPr>
          <w:lang w:val="it-IT"/>
        </w:rPr>
        <w:t>(da confermare</w:t>
      </w:r>
      <w:r w:rsidR="00BC14CC">
        <w:rPr>
          <w:lang w:val="it-IT"/>
        </w:rPr>
        <w:t xml:space="preserve"> </w:t>
      </w:r>
      <w:r w:rsidR="004E0900">
        <w:rPr>
          <w:lang w:val="it-IT"/>
        </w:rPr>
        <w:t>Bianco</w:t>
      </w:r>
      <w:r>
        <w:rPr>
          <w:lang w:val="it-IT"/>
        </w:rPr>
        <w:t>)</w:t>
      </w:r>
      <w:r w:rsidRPr="00D13CCB">
        <w:rPr>
          <w:lang w:val="it-IT"/>
        </w:rPr>
        <w:t>,  Mario Locati</w:t>
      </w:r>
      <w:r>
        <w:rPr>
          <w:lang w:val="it-IT"/>
        </w:rPr>
        <w:t>, + ?</w:t>
      </w:r>
      <w:r w:rsidR="00BC14CC">
        <w:rPr>
          <w:lang w:val="it-IT"/>
        </w:rPr>
        <w:t xml:space="preserve"> </w:t>
      </w:r>
      <w:r w:rsidR="004E0900">
        <w:rPr>
          <w:lang w:val="it-IT"/>
        </w:rPr>
        <w:t>Accorpare con Diritto d’ autore ?</w:t>
      </w:r>
      <w:r w:rsidR="00AC3101">
        <w:rPr>
          <w:lang w:val="it-IT"/>
        </w:rPr>
        <w:t xml:space="preserve"> </w:t>
      </w:r>
    </w:p>
    <w:p w14:paraId="3D76EF97" w14:textId="74D70AD7" w:rsidR="00D13CCB" w:rsidRPr="00D13CCB" w:rsidRDefault="00AC3101" w:rsidP="00D13CCB">
      <w:pPr>
        <w:numPr>
          <w:ilvl w:val="0"/>
          <w:numId w:val="1"/>
        </w:numPr>
      </w:pPr>
      <w:r w:rsidRPr="00AC3101">
        <w:rPr>
          <w:lang w:val="it-IT"/>
        </w:rPr>
        <w:t>Supporto</w:t>
      </w:r>
      <w:r>
        <w:rPr>
          <w:lang w:val="it-IT"/>
        </w:rPr>
        <w:t xml:space="preserve"> alla c</w:t>
      </w:r>
      <w:r w:rsidR="00D13CCB" w:rsidRPr="00D13CCB">
        <w:t xml:space="preserve">omunicazione </w:t>
      </w:r>
      <w:r w:rsidR="00D13CCB" w:rsidRPr="00D13CCB">
        <w:rPr>
          <w:lang w:val="it-IT"/>
        </w:rPr>
        <w:t>esterna</w:t>
      </w:r>
      <w:r>
        <w:rPr>
          <w:lang w:val="it-IT"/>
        </w:rPr>
        <w:t xml:space="preserve"> </w:t>
      </w:r>
      <w:r w:rsidR="00D13CCB" w:rsidRPr="00D13CCB">
        <w:t xml:space="preserve">– Stefano Bianco, Maria Grazia Chiodetti, Mario Locati, Giovanni De Simone, Roberta Vigni, </w:t>
      </w:r>
      <w:r w:rsidR="00D13CCB" w:rsidRPr="00D13CCB">
        <w:rPr>
          <w:lang w:val="it-IT"/>
        </w:rPr>
        <w:t>V</w:t>
      </w:r>
      <w:r w:rsidR="00D13CCB" w:rsidRPr="00D13CCB">
        <w:t xml:space="preserve">incenzo </w:t>
      </w:r>
      <w:r w:rsidR="00D13CCB" w:rsidRPr="00D13CCB">
        <w:rPr>
          <w:lang w:val="it-IT"/>
        </w:rPr>
        <w:t>P</w:t>
      </w:r>
      <w:r w:rsidR="00D13CCB" w:rsidRPr="00D13CCB">
        <w:t>atruno</w:t>
      </w:r>
      <w:r w:rsidR="00D13CCB" w:rsidRPr="00D13CCB">
        <w:rPr>
          <w:lang w:val="it-IT"/>
        </w:rPr>
        <w:t xml:space="preserve">, </w:t>
      </w:r>
      <w:r w:rsidR="00D13CCB">
        <w:rPr>
          <w:lang w:val="it-IT"/>
        </w:rPr>
        <w:t>+?</w:t>
      </w:r>
    </w:p>
    <w:p w14:paraId="3A593E67" w14:textId="2DCA232A" w:rsidR="00D13CCB" w:rsidRDefault="00D13CCB" w:rsidP="00D13CCB">
      <w:pPr>
        <w:ind w:left="720"/>
      </w:pPr>
    </w:p>
    <w:p w14:paraId="3EB3CD56" w14:textId="7EEE0378" w:rsidR="00BC14CC" w:rsidRDefault="00BC14CC" w:rsidP="00D13CCB">
      <w:pPr>
        <w:ind w:left="720"/>
        <w:rPr>
          <w:lang w:val="it-IT"/>
        </w:rPr>
      </w:pPr>
      <w:r w:rsidRPr="00BC14CC">
        <w:rPr>
          <w:lang w:val="it-IT"/>
        </w:rPr>
        <w:t xml:space="preserve">Tutti lavori distribuiti rinformazione ai coordinator </w:t>
      </w:r>
      <w:r>
        <w:rPr>
          <w:lang w:val="it-IT"/>
        </w:rPr>
        <w:t xml:space="preserve"> e anche alla</w:t>
      </w:r>
    </w:p>
    <w:p w14:paraId="0C0809E2" w14:textId="2D38B361" w:rsidR="00BC14CC" w:rsidRDefault="004E0900" w:rsidP="00D13CCB">
      <w:pPr>
        <w:ind w:left="720"/>
        <w:rPr>
          <w:lang w:val="it-IT"/>
        </w:rPr>
      </w:pPr>
      <w:r>
        <w:rPr>
          <w:lang w:val="it-IT"/>
        </w:rPr>
        <w:t xml:space="preserve">Informarsi con Paolo Valente (segr. Presidenza) sul destino del GDL Valutazione (Bianco) </w:t>
      </w:r>
    </w:p>
    <w:p w14:paraId="1C2DE3E4" w14:textId="6A27E661" w:rsidR="00AC3101" w:rsidRPr="00BC14CC" w:rsidRDefault="004E0900" w:rsidP="00D13CCB">
      <w:pPr>
        <w:ind w:left="720"/>
        <w:rPr>
          <w:lang w:val="it-IT"/>
        </w:rPr>
      </w:pPr>
      <w:r>
        <w:rPr>
          <w:lang w:val="it-IT"/>
        </w:rPr>
        <w:t xml:space="preserve">Obiettivi: </w:t>
      </w:r>
      <w:r w:rsidR="00AC3101">
        <w:rPr>
          <w:lang w:val="it-IT"/>
        </w:rPr>
        <w:t>Convegno per ogni gruppo anche breve specifico</w:t>
      </w:r>
      <w:r>
        <w:rPr>
          <w:lang w:val="it-IT"/>
        </w:rPr>
        <w:t>, documento finale di raccomandazione alla CoPER, pubblico.</w:t>
      </w:r>
    </w:p>
    <w:p w14:paraId="3202550B" w14:textId="77777777" w:rsidR="00BC14CC" w:rsidRPr="00D13CCB" w:rsidRDefault="00BC14CC" w:rsidP="00D13CCB">
      <w:pPr>
        <w:ind w:left="720"/>
      </w:pPr>
    </w:p>
    <w:p w14:paraId="5358000C" w14:textId="369AA6D8" w:rsidR="00D13CCB" w:rsidRDefault="00D13CCB" w:rsidP="00D13CCB">
      <w:pPr>
        <w:rPr>
          <w:b/>
          <w:bCs/>
          <w:lang w:val="it-IT"/>
        </w:rPr>
      </w:pPr>
      <w:r w:rsidRPr="00D13CCB">
        <w:rPr>
          <w:b/>
          <w:bCs/>
          <w:lang w:val="it-IT"/>
        </w:rPr>
        <w:t>Linee guida monitoring APC</w:t>
      </w:r>
      <w:r>
        <w:rPr>
          <w:b/>
          <w:bCs/>
          <w:lang w:val="it-IT"/>
        </w:rPr>
        <w:t xml:space="preserve"> (Giannini, Maggi, </w:t>
      </w:r>
      <w:r w:rsidR="00AF27D1">
        <w:rPr>
          <w:b/>
          <w:bCs/>
          <w:lang w:val="it-IT"/>
        </w:rPr>
        <w:t>S</w:t>
      </w:r>
      <w:r>
        <w:rPr>
          <w:b/>
          <w:bCs/>
          <w:lang w:val="it-IT"/>
        </w:rPr>
        <w:t>ecinaro)</w:t>
      </w:r>
    </w:p>
    <w:p w14:paraId="382096B3" w14:textId="65A6AA71" w:rsidR="00D13CCB" w:rsidRDefault="00D13CCB" w:rsidP="00D13CCB">
      <w:pPr>
        <w:rPr>
          <w:lang w:val="it-IT"/>
        </w:rPr>
      </w:pPr>
      <w:r>
        <w:rPr>
          <w:lang w:val="it-IT"/>
        </w:rPr>
        <w:t>Giannini presenta le modifiche. Versione aggiornata sara’ inserita nell’ archivio e dotata di nuovo DOI (</w:t>
      </w:r>
      <w:r w:rsidR="004E0900">
        <w:rPr>
          <w:lang w:val="it-IT"/>
        </w:rPr>
        <w:t>Bianco</w:t>
      </w:r>
      <w:r>
        <w:rPr>
          <w:lang w:val="it-IT"/>
        </w:rPr>
        <w:t>)</w:t>
      </w:r>
      <w:r w:rsidR="004E0900">
        <w:rPr>
          <w:lang w:val="it-IT"/>
        </w:rPr>
        <w:t xml:space="preserve"> [fatto</w:t>
      </w:r>
      <w:r w:rsidR="00794B06">
        <w:rPr>
          <w:lang w:val="it-IT"/>
        </w:rPr>
        <w:t xml:space="preserve"> </w:t>
      </w:r>
      <w:r w:rsidR="00794B06" w:rsidRPr="00794B06">
        <w:rPr>
          <w:lang w:val="it-IT"/>
        </w:rPr>
        <w:t>10.15161/oar.it/76973</w:t>
      </w:r>
      <w:r w:rsidR="004E0900">
        <w:rPr>
          <w:lang w:val="it-IT"/>
        </w:rPr>
        <w:t xml:space="preserve"> ]</w:t>
      </w:r>
      <w:r>
        <w:rPr>
          <w:lang w:val="it-IT"/>
        </w:rPr>
        <w:t>. In preparazione dell’</w:t>
      </w:r>
      <w:r w:rsidR="004E0900">
        <w:rPr>
          <w:lang w:val="it-IT"/>
        </w:rPr>
        <w:t>incontro</w:t>
      </w:r>
      <w:r>
        <w:rPr>
          <w:lang w:val="it-IT"/>
        </w:rPr>
        <w:t xml:space="preserve"> con Tivan occorrera’ preparare una presentazione ad hoc semplice e breve su quello che vorremmo da CODIGER.</w:t>
      </w:r>
    </w:p>
    <w:p w14:paraId="7E016A78" w14:textId="44D74183" w:rsidR="00D13CCB" w:rsidRDefault="00D13CCB" w:rsidP="00D13CCB">
      <w:pPr>
        <w:rPr>
          <w:lang w:val="it-IT"/>
        </w:rPr>
      </w:pPr>
    </w:p>
    <w:p w14:paraId="10F91FED" w14:textId="77777777" w:rsidR="004E0900" w:rsidRDefault="004E0900" w:rsidP="00D13CCB">
      <w:pPr>
        <w:rPr>
          <w:lang w:val="it-IT"/>
        </w:rPr>
      </w:pPr>
    </w:p>
    <w:p w14:paraId="1C524C36" w14:textId="2E4BA851" w:rsidR="00D13CCB" w:rsidRDefault="00D13CCB" w:rsidP="00D13CCB">
      <w:pPr>
        <w:rPr>
          <w:b/>
          <w:bCs/>
          <w:lang w:val="it-IT"/>
        </w:rPr>
      </w:pPr>
      <w:r w:rsidRPr="00D13CCB">
        <w:rPr>
          <w:b/>
          <w:bCs/>
          <w:lang w:val="it-IT"/>
        </w:rPr>
        <w:t>Criteri per la ripartizione dei fondi APC istituzionali</w:t>
      </w:r>
    </w:p>
    <w:p w14:paraId="2784EC64" w14:textId="404A78B3" w:rsidR="00D13CCB" w:rsidRDefault="00D13CCB" w:rsidP="00D13CCB">
      <w:pPr>
        <w:rPr>
          <w:lang w:val="it-IT"/>
        </w:rPr>
      </w:pPr>
      <w:r w:rsidRPr="00D13CCB">
        <w:rPr>
          <w:lang w:val="it-IT"/>
        </w:rPr>
        <w:t>Vigni</w:t>
      </w:r>
      <w:r>
        <w:rPr>
          <w:lang w:val="it-IT"/>
        </w:rPr>
        <w:t xml:space="preserve"> propone </w:t>
      </w:r>
      <w:r w:rsidR="00AF27D1">
        <w:rPr>
          <w:lang w:val="it-IT"/>
        </w:rPr>
        <w:t xml:space="preserve">ai partecipanti </w:t>
      </w:r>
      <w:r>
        <w:rPr>
          <w:lang w:val="it-IT"/>
        </w:rPr>
        <w:t xml:space="preserve">di </w:t>
      </w:r>
      <w:r w:rsidR="00AF27D1">
        <w:rPr>
          <w:lang w:val="it-IT"/>
        </w:rPr>
        <w:t>comunicare</w:t>
      </w:r>
      <w:r>
        <w:rPr>
          <w:lang w:val="it-IT"/>
        </w:rPr>
        <w:t xml:space="preserve"> i criteri </w:t>
      </w:r>
      <w:r w:rsidR="00AF27D1">
        <w:rPr>
          <w:lang w:val="it-IT"/>
        </w:rPr>
        <w:t xml:space="preserve">usati </w:t>
      </w:r>
      <w:r>
        <w:rPr>
          <w:lang w:val="it-IT"/>
        </w:rPr>
        <w:t xml:space="preserve">per la ripartizione dei fondi. De Castro (ISS) invia la nota allegata. </w:t>
      </w:r>
      <w:r w:rsidR="00AF27D1">
        <w:rPr>
          <w:lang w:val="it-IT"/>
        </w:rPr>
        <w:t>Si invitano gli altri EPR a completare l’informazione via email.</w:t>
      </w:r>
    </w:p>
    <w:p w14:paraId="3EAD16FE" w14:textId="42445170" w:rsidR="00AF27D1" w:rsidRDefault="00AF27D1" w:rsidP="00D13CCB">
      <w:pPr>
        <w:rPr>
          <w:lang w:val="it-IT"/>
        </w:rPr>
      </w:pPr>
    </w:p>
    <w:p w14:paraId="51F51DE9" w14:textId="77777777" w:rsidR="00AF27D1" w:rsidRDefault="00AF27D1" w:rsidP="00D13CCB">
      <w:pPr>
        <w:rPr>
          <w:lang w:val="it-IT"/>
        </w:rPr>
      </w:pPr>
    </w:p>
    <w:p w14:paraId="76AF5857" w14:textId="6839F392" w:rsidR="00AF27D1" w:rsidRDefault="00AF27D1" w:rsidP="00D13CCB">
      <w:pPr>
        <w:rPr>
          <w:b/>
          <w:bCs/>
          <w:lang w:val="it-IT"/>
        </w:rPr>
      </w:pPr>
      <w:r w:rsidRPr="00AF27D1">
        <w:rPr>
          <w:b/>
          <w:bCs/>
          <w:lang w:val="it-IT"/>
        </w:rPr>
        <w:t>Accordo CNR INFN INGV INAF scaduto: rinnovo e allargamento ?</w:t>
      </w:r>
    </w:p>
    <w:p w14:paraId="12422865" w14:textId="5E82A466" w:rsidR="00AF27D1" w:rsidRDefault="00AF27D1" w:rsidP="00D13CCB">
      <w:pPr>
        <w:rPr>
          <w:lang w:val="it-IT"/>
        </w:rPr>
      </w:pPr>
      <w:r w:rsidRPr="00AF27D1">
        <w:rPr>
          <w:lang w:val="it-IT"/>
        </w:rPr>
        <w:t>Dopo discussione, non si ritiene utile rinnovare l’accordo considerata l’istituzione di questo gruppo di lavoro</w:t>
      </w:r>
      <w:r w:rsidR="007C0241">
        <w:rPr>
          <w:lang w:val="it-IT"/>
        </w:rPr>
        <w:t>. Se sorgessero necessita’ di svolgere attivita’ specifiche si potranno fare accordi ad hoc.</w:t>
      </w:r>
    </w:p>
    <w:p w14:paraId="29D1BAEF" w14:textId="6DFD1B2B" w:rsidR="00AF27D1" w:rsidRDefault="00AF27D1" w:rsidP="00D13CCB">
      <w:pPr>
        <w:rPr>
          <w:lang w:val="it-IT"/>
        </w:rPr>
      </w:pPr>
    </w:p>
    <w:p w14:paraId="2208313E" w14:textId="54E9CAD3" w:rsidR="00AF27D1" w:rsidRDefault="00AF27D1" w:rsidP="00D13CCB">
      <w:pPr>
        <w:rPr>
          <w:b/>
          <w:bCs/>
          <w:lang w:val="it-IT"/>
        </w:rPr>
      </w:pPr>
      <w:r w:rsidRPr="00AF27D1">
        <w:rPr>
          <w:b/>
          <w:bCs/>
          <w:lang w:val="it-IT"/>
        </w:rPr>
        <w:t>Finalizzazione sondaggi CoPER (open access e open data)</w:t>
      </w:r>
    </w:p>
    <w:p w14:paraId="2816DE77" w14:textId="2D48DBAA" w:rsidR="007C0241" w:rsidRDefault="007C0241" w:rsidP="00D13CCB">
      <w:pPr>
        <w:rPr>
          <w:lang w:val="it-IT"/>
        </w:rPr>
      </w:pPr>
      <w:r w:rsidRPr="007C0241">
        <w:rPr>
          <w:lang w:val="it-IT"/>
        </w:rPr>
        <w:t xml:space="preserve">Open access </w:t>
      </w:r>
      <w:r w:rsidR="004E0900">
        <w:rPr>
          <w:lang w:val="it-IT"/>
        </w:rPr>
        <w:t>Chiodetti</w:t>
      </w:r>
      <w:r w:rsidRPr="007C0241">
        <w:rPr>
          <w:lang w:val="it-IT"/>
        </w:rPr>
        <w:t xml:space="preserve"> </w:t>
      </w:r>
      <w:r w:rsidR="004E0900">
        <w:rPr>
          <w:lang w:val="it-IT"/>
        </w:rPr>
        <w:t xml:space="preserve">con Locati </w:t>
      </w:r>
      <w:r w:rsidRPr="007C0241">
        <w:rPr>
          <w:lang w:val="it-IT"/>
        </w:rPr>
        <w:t>rendono pubblicabili i risultati</w:t>
      </w:r>
      <w:r>
        <w:rPr>
          <w:lang w:val="it-IT"/>
        </w:rPr>
        <w:t>: mostrare dati raw + semplice elaborazione</w:t>
      </w:r>
    </w:p>
    <w:p w14:paraId="2E901F2B" w14:textId="589A0839" w:rsidR="007C0241" w:rsidRDefault="007C0241" w:rsidP="00D13CCB">
      <w:pPr>
        <w:rPr>
          <w:lang w:val="it-IT"/>
        </w:rPr>
      </w:pPr>
      <w:r>
        <w:rPr>
          <w:lang w:val="it-IT"/>
        </w:rPr>
        <w:t>Open data sondaggio ICDI non ha funzionato non ha avuto riscontri sufficienti a giustificare l’ elaborazione dei risultati.</w:t>
      </w:r>
    </w:p>
    <w:p w14:paraId="283A523E" w14:textId="228357B7" w:rsidR="007C0241" w:rsidRPr="004E0900" w:rsidRDefault="007C0241" w:rsidP="004E0900">
      <w:pPr>
        <w:jc w:val="both"/>
        <w:rPr>
          <w:rFonts w:ascii="Roboto" w:eastAsia="Times New Roman" w:hAnsi="Roboto" w:cs="Times New Roman"/>
          <w:color w:val="555555"/>
          <w:sz w:val="20"/>
          <w:szCs w:val="20"/>
        </w:rPr>
      </w:pPr>
      <w:r>
        <w:rPr>
          <w:lang w:val="it-IT"/>
        </w:rPr>
        <w:t>Gestione istituzionale dei dati.</w:t>
      </w:r>
      <w:r w:rsidR="004E0900">
        <w:rPr>
          <w:lang w:val="it-IT"/>
        </w:rPr>
        <w:t xml:space="preserve"> Locati </w:t>
      </w:r>
      <w:r w:rsidR="0000552C">
        <w:rPr>
          <w:lang w:val="it-IT"/>
        </w:rPr>
        <w:t xml:space="preserve"> + gruppo di lavoro. Incorpora il sondaggio di EOSC + altro che sara’  definito durante la riunione primi di marzo</w:t>
      </w:r>
      <w:r w:rsidR="004E0900">
        <w:rPr>
          <w:lang w:val="it-IT"/>
        </w:rPr>
        <w:t xml:space="preserve"> (agenda e materiali disponibili su </w:t>
      </w:r>
      <w:hyperlink r:id="rId6" w:history="1">
        <w:r w:rsidR="004E0900" w:rsidRPr="00BD243A">
          <w:rPr>
            <w:rStyle w:val="Hyperlink"/>
            <w:rFonts w:ascii="Roboto" w:eastAsia="Times New Roman" w:hAnsi="Roboto" w:cs="Times New Roman"/>
            <w:sz w:val="20"/>
            <w:szCs w:val="20"/>
          </w:rPr>
          <w:t>https://agenda.infn.it/e/coper.openscience/20230303Opendata</w:t>
        </w:r>
      </w:hyperlink>
      <w:r w:rsidR="004E0900" w:rsidRPr="004E0900">
        <w:rPr>
          <w:rFonts w:ascii="Roboto" w:eastAsia="Times New Roman" w:hAnsi="Roboto" w:cs="Times New Roman"/>
          <w:color w:val="555555"/>
          <w:sz w:val="20"/>
          <w:szCs w:val="20"/>
          <w:lang w:val="it-IT"/>
        </w:rPr>
        <w:t xml:space="preserve"> </w:t>
      </w:r>
      <w:r w:rsidR="004E0900" w:rsidRPr="004E0900">
        <w:rPr>
          <w:lang w:val="it-IT"/>
        </w:rPr>
        <w:t>)</w:t>
      </w:r>
      <w:r w:rsidR="0000552C">
        <w:rPr>
          <w:lang w:val="it-IT"/>
        </w:rPr>
        <w:t>.</w:t>
      </w:r>
    </w:p>
    <w:p w14:paraId="1772D8B6" w14:textId="1BA7CD30" w:rsidR="00AF27D1" w:rsidRPr="00AF27D1" w:rsidRDefault="00AF27D1" w:rsidP="00D13CCB">
      <w:pPr>
        <w:rPr>
          <w:lang w:val="it-IT"/>
        </w:rPr>
      </w:pPr>
      <w:r w:rsidRPr="00AF27D1">
        <w:rPr>
          <w:lang w:val="it-IT"/>
        </w:rPr>
        <w:t>…</w:t>
      </w:r>
    </w:p>
    <w:p w14:paraId="49F1AB3A" w14:textId="57429F6B" w:rsidR="00AF27D1" w:rsidRDefault="00AF27D1" w:rsidP="00D13CCB">
      <w:pPr>
        <w:rPr>
          <w:lang w:val="it-IT"/>
        </w:rPr>
      </w:pPr>
    </w:p>
    <w:p w14:paraId="31EAB36C" w14:textId="1E44A484" w:rsidR="00AF27D1" w:rsidRDefault="00AF27D1" w:rsidP="00D13CCB">
      <w:pPr>
        <w:rPr>
          <w:b/>
          <w:bCs/>
          <w:lang w:val="it-IT"/>
        </w:rPr>
      </w:pPr>
      <w:r>
        <w:rPr>
          <w:b/>
          <w:bCs/>
          <w:lang w:val="it-IT"/>
        </w:rPr>
        <w:t>Altre i</w:t>
      </w:r>
      <w:r w:rsidRPr="00AF27D1">
        <w:rPr>
          <w:b/>
          <w:bCs/>
          <w:lang w:val="it-IT"/>
        </w:rPr>
        <w:t>niziative sondaggi (P.Galimberti</w:t>
      </w:r>
      <w:r w:rsidR="007C0241">
        <w:rPr>
          <w:b/>
          <w:bCs/>
          <w:lang w:val="it-IT"/>
        </w:rPr>
        <w:t xml:space="preserve"> +AISA</w:t>
      </w:r>
      <w:r w:rsidRPr="00AF27D1">
        <w:rPr>
          <w:b/>
          <w:bCs/>
          <w:lang w:val="it-IT"/>
        </w:rPr>
        <w:t>, D.Castelli, etc)</w:t>
      </w:r>
    </w:p>
    <w:p w14:paraId="4A681606" w14:textId="4EA8CC23" w:rsidR="007C0241" w:rsidRDefault="007C0241" w:rsidP="00D13CCB">
      <w:pPr>
        <w:rPr>
          <w:lang w:val="it-IT"/>
        </w:rPr>
      </w:pPr>
      <w:r w:rsidRPr="007C0241">
        <w:rPr>
          <w:lang w:val="it-IT"/>
        </w:rPr>
        <w:t>Galimberti+AISA</w:t>
      </w:r>
      <w:r>
        <w:rPr>
          <w:lang w:val="it-IT"/>
        </w:rPr>
        <w:t xml:space="preserve"> </w:t>
      </w:r>
      <w:r w:rsidR="004E0900">
        <w:rPr>
          <w:lang w:val="it-IT"/>
        </w:rPr>
        <w:t xml:space="preserve">tutti invitati a partecipare, tenendo in mente che </w:t>
      </w:r>
      <w:r>
        <w:rPr>
          <w:lang w:val="it-IT"/>
        </w:rPr>
        <w:t>esistono grosse sovrapposizioni con i nostri</w:t>
      </w:r>
      <w:r w:rsidR="004E0900">
        <w:rPr>
          <w:lang w:val="it-IT"/>
        </w:rPr>
        <w:t xml:space="preserve"> sondaggi</w:t>
      </w:r>
      <w:r>
        <w:rPr>
          <w:lang w:val="it-IT"/>
        </w:rPr>
        <w:t xml:space="preserve">, i risultati dei quali sarano prestissimo </w:t>
      </w:r>
      <w:r w:rsidR="004E0900">
        <w:rPr>
          <w:lang w:val="it-IT"/>
        </w:rPr>
        <w:t xml:space="preserve">resi </w:t>
      </w:r>
      <w:r>
        <w:rPr>
          <w:lang w:val="it-IT"/>
        </w:rPr>
        <w:t>pubblici.</w:t>
      </w:r>
    </w:p>
    <w:p w14:paraId="0BADF7AE" w14:textId="2C037A32" w:rsidR="007C0241" w:rsidRDefault="007C0241" w:rsidP="00D13CCB">
      <w:pPr>
        <w:rPr>
          <w:lang w:val="it-IT"/>
        </w:rPr>
      </w:pPr>
    </w:p>
    <w:p w14:paraId="1EAC0BCA" w14:textId="519E66B6" w:rsidR="004E0900" w:rsidRPr="004E0900" w:rsidRDefault="007C0241" w:rsidP="004E0900">
      <w:pPr>
        <w:rPr>
          <w:rFonts w:ascii="Roboto" w:eastAsia="Times New Roman" w:hAnsi="Roboto" w:cs="Times New Roman"/>
          <w:color w:val="555555"/>
          <w:sz w:val="20"/>
          <w:szCs w:val="20"/>
          <w:lang w:val="it-IT"/>
        </w:rPr>
      </w:pPr>
      <w:r>
        <w:rPr>
          <w:lang w:val="it-IT"/>
        </w:rPr>
        <w:t>Castelli-EOSC</w:t>
      </w:r>
      <w:r w:rsidR="0000552C">
        <w:rPr>
          <w:lang w:val="it-IT"/>
        </w:rPr>
        <w:t xml:space="preserve"> ha chiesto alle RPO italiane di rispondere al sondaggio </w:t>
      </w:r>
      <w:r w:rsidR="004E0900">
        <w:rPr>
          <w:lang w:val="it-IT"/>
        </w:rPr>
        <w:t xml:space="preserve">(vedi riunione </w:t>
      </w:r>
      <w:hyperlink r:id="rId7" w:history="1">
        <w:r w:rsidR="004E0900" w:rsidRPr="00BD243A">
          <w:rPr>
            <w:rStyle w:val="Hyperlink"/>
            <w:rFonts w:ascii="Roboto" w:eastAsia="Times New Roman" w:hAnsi="Roboto" w:cs="Times New Roman"/>
            <w:sz w:val="20"/>
            <w:szCs w:val="20"/>
          </w:rPr>
          <w:t>https://agenda.infn.it/e/coper.openscience/20230303Opendata</w:t>
        </w:r>
      </w:hyperlink>
      <w:r w:rsidR="004E0900" w:rsidRPr="004E0900">
        <w:rPr>
          <w:rFonts w:ascii="Roboto" w:eastAsia="Times New Roman" w:hAnsi="Roboto" w:cs="Times New Roman"/>
          <w:color w:val="555555"/>
          <w:sz w:val="20"/>
          <w:szCs w:val="20"/>
          <w:lang w:val="it-IT"/>
        </w:rPr>
        <w:t xml:space="preserve"> </w:t>
      </w:r>
      <w:r w:rsidR="004E0900">
        <w:rPr>
          <w:rFonts w:ascii="Roboto" w:eastAsia="Times New Roman" w:hAnsi="Roboto" w:cs="Times New Roman"/>
          <w:color w:val="555555"/>
          <w:sz w:val="20"/>
          <w:szCs w:val="20"/>
          <w:lang w:val="it-IT"/>
        </w:rPr>
        <w:t>)</w:t>
      </w:r>
    </w:p>
    <w:p w14:paraId="1C739B8B" w14:textId="494D02B9" w:rsidR="007C0241" w:rsidRPr="004E0900" w:rsidRDefault="007C0241" w:rsidP="00D13CCB"/>
    <w:p w14:paraId="75F81686" w14:textId="07ABD395" w:rsidR="00AF27D1" w:rsidRPr="00AF27D1" w:rsidRDefault="00AF27D1" w:rsidP="00D13CCB">
      <w:pPr>
        <w:rPr>
          <w:lang w:val="it-IT"/>
        </w:rPr>
      </w:pPr>
      <w:r w:rsidRPr="00AF27D1">
        <w:rPr>
          <w:lang w:val="it-IT"/>
        </w:rPr>
        <w:t>…</w:t>
      </w:r>
    </w:p>
    <w:p w14:paraId="64EEA37D" w14:textId="77777777" w:rsidR="00D13CCB" w:rsidRPr="00D13CCB" w:rsidRDefault="00D13CCB" w:rsidP="00D13CCB"/>
    <w:p w14:paraId="2505311C" w14:textId="77777777" w:rsidR="00D13CCB" w:rsidRPr="00D13CCB" w:rsidRDefault="00D13CCB"/>
    <w:p w14:paraId="5E87D861" w14:textId="32EEF091" w:rsidR="00D13CCB" w:rsidRDefault="00D13CCB">
      <w:pPr>
        <w:rPr>
          <w:lang w:val="it-IT"/>
        </w:rPr>
      </w:pPr>
    </w:p>
    <w:p w14:paraId="138FB828" w14:textId="0B9882F8" w:rsidR="004B1F4B" w:rsidRDefault="004B1F4B">
      <w:pPr>
        <w:rPr>
          <w:lang w:val="it-IT"/>
        </w:rPr>
      </w:pPr>
    </w:p>
    <w:p w14:paraId="74E50C8D" w14:textId="121F80BA" w:rsidR="004B1F4B" w:rsidRDefault="004B1F4B">
      <w:pPr>
        <w:rPr>
          <w:lang w:val="it-IT"/>
        </w:rPr>
      </w:pPr>
    </w:p>
    <w:p w14:paraId="5D9A0AA7" w14:textId="79979383" w:rsidR="004B1F4B" w:rsidRDefault="004B1F4B">
      <w:pPr>
        <w:rPr>
          <w:lang w:val="it-IT"/>
        </w:rPr>
      </w:pPr>
    </w:p>
    <w:p w14:paraId="4703098B" w14:textId="5A91E433" w:rsidR="004B1F4B" w:rsidRDefault="004B1F4B">
      <w:pPr>
        <w:rPr>
          <w:lang w:val="it-IT"/>
        </w:rPr>
      </w:pPr>
    </w:p>
    <w:p w14:paraId="29EC560A" w14:textId="6AAD8B7B" w:rsidR="004B1F4B" w:rsidRDefault="004B1F4B">
      <w:pPr>
        <w:rPr>
          <w:lang w:val="it-IT"/>
        </w:rPr>
      </w:pPr>
    </w:p>
    <w:p w14:paraId="1ECCE353" w14:textId="3539A15F" w:rsidR="004B1F4B" w:rsidRDefault="004B1F4B">
      <w:pPr>
        <w:rPr>
          <w:lang w:val="it-IT"/>
        </w:rPr>
      </w:pPr>
    </w:p>
    <w:p w14:paraId="7EF09884" w14:textId="6F180C71" w:rsidR="004B1F4B" w:rsidRDefault="004B1F4B">
      <w:pPr>
        <w:rPr>
          <w:lang w:val="it-IT"/>
        </w:rPr>
      </w:pPr>
    </w:p>
    <w:p w14:paraId="08A23B13" w14:textId="52C0EA4B" w:rsidR="004B1F4B" w:rsidRDefault="004B1F4B">
      <w:pPr>
        <w:rPr>
          <w:lang w:val="it-IT"/>
        </w:rPr>
      </w:pPr>
    </w:p>
    <w:p w14:paraId="4DE92765" w14:textId="049939F7" w:rsidR="004B1F4B" w:rsidRDefault="004B1F4B">
      <w:pPr>
        <w:rPr>
          <w:lang w:val="it-IT"/>
        </w:rPr>
      </w:pPr>
    </w:p>
    <w:p w14:paraId="05517E45" w14:textId="2265BFC3" w:rsidR="004B1F4B" w:rsidRDefault="004B1F4B">
      <w:pPr>
        <w:rPr>
          <w:lang w:val="it-IT"/>
        </w:rPr>
      </w:pPr>
    </w:p>
    <w:p w14:paraId="347A5323" w14:textId="53D44180" w:rsidR="004B1F4B" w:rsidRDefault="004B1F4B">
      <w:pPr>
        <w:rPr>
          <w:lang w:val="it-IT"/>
        </w:rPr>
      </w:pPr>
    </w:p>
    <w:p w14:paraId="10E1B8E6" w14:textId="3E7F0A86" w:rsidR="004B1F4B" w:rsidRDefault="004B1F4B">
      <w:pPr>
        <w:rPr>
          <w:lang w:val="it-IT"/>
        </w:rPr>
      </w:pPr>
    </w:p>
    <w:p w14:paraId="2AC38EA6" w14:textId="2B443339" w:rsidR="004B1F4B" w:rsidRDefault="004B1F4B">
      <w:pPr>
        <w:rPr>
          <w:lang w:val="it-IT"/>
        </w:rPr>
      </w:pPr>
    </w:p>
    <w:p w14:paraId="726DDF08" w14:textId="7C122120" w:rsidR="004B1F4B" w:rsidRDefault="004B1F4B">
      <w:pPr>
        <w:rPr>
          <w:lang w:val="it-IT"/>
        </w:rPr>
      </w:pPr>
    </w:p>
    <w:p w14:paraId="5E8DC621" w14:textId="7FF6C36A" w:rsidR="004B1F4B" w:rsidRDefault="004B1F4B">
      <w:pPr>
        <w:rPr>
          <w:lang w:val="it-IT"/>
        </w:rPr>
      </w:pPr>
    </w:p>
    <w:p w14:paraId="38B3BB22" w14:textId="621EEA7B" w:rsidR="004B1F4B" w:rsidRDefault="004B1F4B">
      <w:pPr>
        <w:rPr>
          <w:lang w:val="it-IT"/>
        </w:rPr>
      </w:pPr>
    </w:p>
    <w:p w14:paraId="5716566F" w14:textId="0EFED3CB" w:rsidR="004B1F4B" w:rsidRDefault="004B1F4B">
      <w:pPr>
        <w:rPr>
          <w:lang w:val="it-IT"/>
        </w:rPr>
      </w:pPr>
    </w:p>
    <w:p w14:paraId="610FC2B3" w14:textId="34AD3075" w:rsidR="004B1F4B" w:rsidRDefault="004B1F4B">
      <w:pPr>
        <w:rPr>
          <w:lang w:val="it-IT"/>
        </w:rPr>
      </w:pPr>
    </w:p>
    <w:p w14:paraId="7328D3C4" w14:textId="0050E930" w:rsidR="004B1F4B" w:rsidRDefault="004B1F4B">
      <w:pPr>
        <w:rPr>
          <w:lang w:val="it-IT"/>
        </w:rPr>
      </w:pPr>
    </w:p>
    <w:p w14:paraId="3B0E87F7" w14:textId="3782EB0B" w:rsidR="004B1F4B" w:rsidRDefault="004B1F4B">
      <w:pPr>
        <w:rPr>
          <w:lang w:val="it-IT"/>
        </w:rPr>
      </w:pPr>
    </w:p>
    <w:p w14:paraId="347FE4D5" w14:textId="297A7F12" w:rsidR="004B1F4B" w:rsidRDefault="004B1F4B">
      <w:pPr>
        <w:rPr>
          <w:lang w:val="it-IT"/>
        </w:rPr>
      </w:pPr>
    </w:p>
    <w:p w14:paraId="5B699826" w14:textId="7CFED5FF" w:rsidR="004B1F4B" w:rsidRDefault="004B1F4B">
      <w:pPr>
        <w:rPr>
          <w:lang w:val="it-IT"/>
        </w:rPr>
      </w:pPr>
    </w:p>
    <w:p w14:paraId="5764A2ED" w14:textId="4ACB51B6" w:rsidR="004B1F4B" w:rsidRDefault="004B1F4B">
      <w:pPr>
        <w:rPr>
          <w:lang w:val="it-IT"/>
        </w:rPr>
      </w:pPr>
    </w:p>
    <w:p w14:paraId="750A975E" w14:textId="325DF2B3" w:rsidR="004B1F4B" w:rsidRDefault="004B1F4B">
      <w:pPr>
        <w:rPr>
          <w:lang w:val="it-IT"/>
        </w:rPr>
      </w:pPr>
    </w:p>
    <w:p w14:paraId="5934991D" w14:textId="51E2D071" w:rsidR="004B1F4B" w:rsidRDefault="004B1F4B">
      <w:pPr>
        <w:rPr>
          <w:lang w:val="it-IT"/>
        </w:rPr>
      </w:pPr>
    </w:p>
    <w:p w14:paraId="05634FE7" w14:textId="4DFD0405" w:rsidR="004B1F4B" w:rsidRDefault="004B1F4B">
      <w:pPr>
        <w:rPr>
          <w:lang w:val="it-IT"/>
        </w:rPr>
      </w:pPr>
    </w:p>
    <w:p w14:paraId="7E900902" w14:textId="76B67FB8" w:rsidR="004B1F4B" w:rsidRDefault="004B1F4B">
      <w:pPr>
        <w:rPr>
          <w:lang w:val="it-IT"/>
        </w:rPr>
      </w:pPr>
    </w:p>
    <w:p w14:paraId="524EA88F" w14:textId="2EA55363" w:rsidR="004B1F4B" w:rsidRDefault="004B1F4B">
      <w:pPr>
        <w:rPr>
          <w:lang w:val="it-IT"/>
        </w:rPr>
      </w:pPr>
    </w:p>
    <w:p w14:paraId="177CC3DA" w14:textId="28722F3B" w:rsidR="004B1F4B" w:rsidRDefault="004B1F4B">
      <w:pPr>
        <w:rPr>
          <w:lang w:val="it-IT"/>
        </w:rPr>
      </w:pPr>
    </w:p>
    <w:p w14:paraId="3F8AA447" w14:textId="44CD1A53" w:rsidR="004B1F4B" w:rsidRDefault="004B1F4B">
      <w:pPr>
        <w:rPr>
          <w:lang w:val="it-IT"/>
        </w:rPr>
      </w:pPr>
    </w:p>
    <w:p w14:paraId="0B77B686" w14:textId="0AA1FA64" w:rsidR="004B1F4B" w:rsidRDefault="004B1F4B">
      <w:pPr>
        <w:rPr>
          <w:lang w:val="it-IT"/>
        </w:rPr>
      </w:pPr>
    </w:p>
    <w:p w14:paraId="030F7B4A" w14:textId="03F978C3" w:rsidR="004B1F4B" w:rsidRDefault="004B1F4B">
      <w:pPr>
        <w:rPr>
          <w:lang w:val="it-IT"/>
        </w:rPr>
      </w:pPr>
    </w:p>
    <w:p w14:paraId="149A9122" w14:textId="08BE89FB" w:rsidR="004B1F4B" w:rsidRDefault="004B1F4B">
      <w:pPr>
        <w:rPr>
          <w:lang w:val="it-IT"/>
        </w:rPr>
      </w:pPr>
    </w:p>
    <w:p w14:paraId="10C0151A" w14:textId="33F6370A" w:rsidR="004B1F4B" w:rsidRDefault="004B1F4B">
      <w:pPr>
        <w:rPr>
          <w:lang w:val="it-IT"/>
        </w:rPr>
      </w:pPr>
    </w:p>
    <w:p w14:paraId="07AA3964" w14:textId="28685662" w:rsidR="004B1F4B" w:rsidRDefault="004B1F4B">
      <w:pPr>
        <w:rPr>
          <w:lang w:val="it-IT"/>
        </w:rPr>
      </w:pPr>
    </w:p>
    <w:p w14:paraId="45C6AD67" w14:textId="71F728A9" w:rsidR="004B1F4B" w:rsidRDefault="004B1F4B">
      <w:pPr>
        <w:rPr>
          <w:lang w:val="it-IT"/>
        </w:rPr>
      </w:pPr>
    </w:p>
    <w:p w14:paraId="5611F246" w14:textId="77777777" w:rsidR="004B1F4B" w:rsidRPr="008E24DE" w:rsidRDefault="004B1F4B" w:rsidP="004B1F4B">
      <w:pPr>
        <w:shd w:val="clear" w:color="auto" w:fill="B4C6E7" w:themeFill="accent1" w:themeFillTint="66"/>
        <w:rPr>
          <w:b/>
          <w:sz w:val="32"/>
          <w:szCs w:val="32"/>
        </w:rPr>
      </w:pPr>
      <w:r w:rsidRPr="008E24DE">
        <w:rPr>
          <w:b/>
          <w:sz w:val="32"/>
          <w:szCs w:val="32"/>
        </w:rPr>
        <w:t xml:space="preserve">Incentivi per </w:t>
      </w:r>
      <w:r>
        <w:rPr>
          <w:b/>
          <w:sz w:val="32"/>
          <w:szCs w:val="32"/>
        </w:rPr>
        <w:t xml:space="preserve">pubblicazioni </w:t>
      </w:r>
      <w:r w:rsidRPr="008E24DE">
        <w:rPr>
          <w:b/>
          <w:sz w:val="32"/>
          <w:szCs w:val="32"/>
        </w:rPr>
        <w:t>OA @ISS</w:t>
      </w:r>
    </w:p>
    <w:p w14:paraId="09883848" w14:textId="77777777" w:rsidR="004B1F4B" w:rsidRDefault="004B1F4B" w:rsidP="004B1F4B">
      <w:r>
        <w:t xml:space="preserve">Per favorire la pubblicazione in riviste ad accesso aperto, nel 2023, i ricercatori dell’ISS potranno usufruire </w:t>
      </w:r>
    </w:p>
    <w:p w14:paraId="49E3D542" w14:textId="77777777" w:rsidR="004B1F4B" w:rsidRDefault="004B1F4B" w:rsidP="004B1F4B">
      <w:pPr>
        <w:pStyle w:val="ListParagraph"/>
        <w:numPr>
          <w:ilvl w:val="0"/>
          <w:numId w:val="2"/>
        </w:numPr>
      </w:pPr>
      <w:r>
        <w:rPr>
          <w:b/>
        </w:rPr>
        <w:t>Finanziamento ad hoc</w:t>
      </w:r>
      <w:r w:rsidRPr="00702F88">
        <w:rPr>
          <w:b/>
        </w:rPr>
        <w:t xml:space="preserve"> ISS </w:t>
      </w:r>
      <w:r>
        <w:br/>
        <w:t>Progetto pilota che prevede la gestone di un fondo  per pagamento di APC, da assegnare con criteri selettivi basati su quartile della rivista con IF e assenza di altre fonti di finanziamento</w:t>
      </w:r>
    </w:p>
    <w:p w14:paraId="44791A2C" w14:textId="77777777" w:rsidR="004B1F4B" w:rsidRDefault="004B1F4B" w:rsidP="004B1F4B">
      <w:pPr>
        <w:pStyle w:val="ListParagraph"/>
        <w:numPr>
          <w:ilvl w:val="0"/>
          <w:numId w:val="2"/>
        </w:numPr>
      </w:pPr>
      <w:r>
        <w:rPr>
          <w:b/>
        </w:rPr>
        <w:t>Finanziamento</w:t>
      </w:r>
      <w:r w:rsidRPr="00702F88">
        <w:rPr>
          <w:b/>
        </w:rPr>
        <w:t xml:space="preserve"> </w:t>
      </w:r>
      <w:r>
        <w:rPr>
          <w:b/>
        </w:rPr>
        <w:t xml:space="preserve">tramite </w:t>
      </w:r>
      <w:r w:rsidRPr="00702F88">
        <w:rPr>
          <w:b/>
        </w:rPr>
        <w:t>Bibliosan</w:t>
      </w:r>
      <w:r>
        <w:t xml:space="preserve"> (consorzio Biblioteche coordinato da Ministero della Salute). </w:t>
      </w:r>
    </w:p>
    <w:p w14:paraId="74EDD19D" w14:textId="77777777" w:rsidR="004B1F4B" w:rsidRDefault="004B1F4B" w:rsidP="004B1F4B">
      <w:pPr>
        <w:pStyle w:val="ListParagraph"/>
      </w:pPr>
      <w:r>
        <w:t>Insieme all’acquisto consorziato di abbonamenti sono stati siglati centralmente anche Trasformative Agreements con 4 editori (SAGE, Wiley, Taylor and Francis, Oxford University Press). In base a tali accordi sono assegnati agli enti aderenti un certo numero di “Token” per pubblicare su riviste ibride (anche riviste Gold solo per SAGE), con criteri selettivi basati su pubblicazioni rendicontabili al Ministero della salute (IF).</w:t>
      </w:r>
    </w:p>
    <w:p w14:paraId="628F66C0" w14:textId="77777777" w:rsidR="004B1F4B" w:rsidRDefault="004B1F4B" w:rsidP="004B1F4B">
      <w:r>
        <w:t xml:space="preserve">Gli incentivi dunque si riferiscono solo a riviste impattate e durano un anno, in attesa di successive valutazioni. Sono anche limitati qauntitativametne, ma rappresentano la volontà di incentivare l’OA (non proprio la scienza aperta), in linea con la Policy ISS sulla gestione dei risultati cella ricerca (pubblicazioni e dati) </w:t>
      </w:r>
      <w:hyperlink r:id="rId8" w:history="1">
        <w:r w:rsidRPr="00007BA1">
          <w:rPr>
            <w:rStyle w:val="Hyperlink"/>
          </w:rPr>
          <w:t>https://www.iss.it/documents/20126/0/Policy+ISS+Gestione+risultati+della+ricerca+2021.pdf/c67aeecb-5d51-b7b9-959b-945692f618ce?t=1620641245572</w:t>
        </w:r>
      </w:hyperlink>
    </w:p>
    <w:p w14:paraId="3265B130" w14:textId="77777777" w:rsidR="004B1F4B" w:rsidRDefault="004B1F4B" w:rsidP="004B1F4B"/>
    <w:p w14:paraId="024B4553" w14:textId="77777777" w:rsidR="004B1F4B" w:rsidRDefault="004B1F4B" w:rsidP="004B1F4B"/>
    <w:p w14:paraId="31DFD4A1" w14:textId="35CD48C5" w:rsidR="004B1F4B" w:rsidRDefault="004B1F4B"/>
    <w:p w14:paraId="48328F7A" w14:textId="0C874DAD" w:rsidR="00191F7B" w:rsidRPr="00191F7B" w:rsidRDefault="00191F7B" w:rsidP="00191F7B">
      <w:pPr>
        <w:shd w:val="clear" w:color="auto" w:fill="B4C6E7" w:themeFill="accent1" w:themeFillTint="66"/>
        <w:rPr>
          <w:b/>
          <w:sz w:val="32"/>
          <w:szCs w:val="32"/>
          <w:lang w:val="it-IT"/>
        </w:rPr>
      </w:pPr>
      <w:r>
        <w:rPr>
          <w:b/>
          <w:sz w:val="32"/>
          <w:szCs w:val="32"/>
          <w:lang w:val="it-IT"/>
        </w:rPr>
        <w:t>Pubblicazioni OA @ INFN con fondi istituzionali, extra contratti nazionali</w:t>
      </w:r>
    </w:p>
    <w:p w14:paraId="1F6D8922" w14:textId="77777777" w:rsidR="00191F7B" w:rsidRPr="004B1F4B" w:rsidRDefault="00191F7B"/>
    <w:p w14:paraId="1F414871" w14:textId="69AFBC79" w:rsidR="004B1F4B" w:rsidRDefault="00191F7B">
      <w:pPr>
        <w:rPr>
          <w:lang w:val="it-IT"/>
        </w:rPr>
      </w:pPr>
      <w:r w:rsidRPr="00191F7B">
        <w:rPr>
          <w:lang w:val="it-IT"/>
        </w:rPr>
        <w:t>I</w:t>
      </w:r>
      <w:r>
        <w:rPr>
          <w:lang w:val="it-IT"/>
        </w:rPr>
        <w:t xml:space="preserve"> fondi sono collegati ai coordinatori delle linee scientifiche che decidono il finanziamento previo parere di Comitato tecnico-scientifico. Le linee guida seguite hanno l’ obiettivo di favorire il green OA, utilizzare il diamond OA (SCOAP3), utilizzare i contratti nazionali P&amp;R, escludere il pagamento di APC presso editori predatori o di APC fuori mercato. Non esistono ripartizioni a priori, ne’  incentivi.</w:t>
      </w:r>
    </w:p>
    <w:p w14:paraId="5074220A" w14:textId="77777777" w:rsidR="004B1F4B" w:rsidRPr="0065515B" w:rsidRDefault="004B1F4B">
      <w:pPr>
        <w:rPr>
          <w:lang w:val="it-IT"/>
        </w:rPr>
      </w:pPr>
    </w:p>
    <w:sectPr w:rsidR="004B1F4B" w:rsidRPr="006551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Roboto">
    <w:panose1 w:val="020B0604020202020204"/>
    <w:charset w:val="00"/>
    <w:family w:val="auto"/>
    <w:pitch w:val="variable"/>
    <w:sig w:usb0="E0000AFF" w:usb1="5000217F" w:usb2="00000021"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B1051"/>
    <w:multiLevelType w:val="hybridMultilevel"/>
    <w:tmpl w:val="C10C9BEE"/>
    <w:lvl w:ilvl="0" w:tplc="E228B0E4">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F3A04C0"/>
    <w:multiLevelType w:val="hybridMultilevel"/>
    <w:tmpl w:val="D71A92B6"/>
    <w:lvl w:ilvl="0" w:tplc="B3B22EA8">
      <w:start w:val="1"/>
      <w:numFmt w:val="decimal"/>
      <w:lvlText w:val="%1."/>
      <w:lvlJc w:val="left"/>
      <w:pPr>
        <w:tabs>
          <w:tab w:val="num" w:pos="720"/>
        </w:tabs>
        <w:ind w:left="720" w:hanging="360"/>
      </w:pPr>
    </w:lvl>
    <w:lvl w:ilvl="1" w:tplc="69402110">
      <w:start w:val="1"/>
      <w:numFmt w:val="decimal"/>
      <w:lvlText w:val="%2."/>
      <w:lvlJc w:val="left"/>
      <w:pPr>
        <w:tabs>
          <w:tab w:val="num" w:pos="1440"/>
        </w:tabs>
        <w:ind w:left="1440" w:hanging="360"/>
      </w:pPr>
    </w:lvl>
    <w:lvl w:ilvl="2" w:tplc="AA90CEC0" w:tentative="1">
      <w:start w:val="1"/>
      <w:numFmt w:val="decimal"/>
      <w:lvlText w:val="%3."/>
      <w:lvlJc w:val="left"/>
      <w:pPr>
        <w:tabs>
          <w:tab w:val="num" w:pos="2160"/>
        </w:tabs>
        <w:ind w:left="2160" w:hanging="360"/>
      </w:pPr>
    </w:lvl>
    <w:lvl w:ilvl="3" w:tplc="4C605F94" w:tentative="1">
      <w:start w:val="1"/>
      <w:numFmt w:val="decimal"/>
      <w:lvlText w:val="%4."/>
      <w:lvlJc w:val="left"/>
      <w:pPr>
        <w:tabs>
          <w:tab w:val="num" w:pos="2880"/>
        </w:tabs>
        <w:ind w:left="2880" w:hanging="360"/>
      </w:pPr>
    </w:lvl>
    <w:lvl w:ilvl="4" w:tplc="3CC830AA" w:tentative="1">
      <w:start w:val="1"/>
      <w:numFmt w:val="decimal"/>
      <w:lvlText w:val="%5."/>
      <w:lvlJc w:val="left"/>
      <w:pPr>
        <w:tabs>
          <w:tab w:val="num" w:pos="3600"/>
        </w:tabs>
        <w:ind w:left="3600" w:hanging="360"/>
      </w:pPr>
    </w:lvl>
    <w:lvl w:ilvl="5" w:tplc="502ACD76" w:tentative="1">
      <w:start w:val="1"/>
      <w:numFmt w:val="decimal"/>
      <w:lvlText w:val="%6."/>
      <w:lvlJc w:val="left"/>
      <w:pPr>
        <w:tabs>
          <w:tab w:val="num" w:pos="4320"/>
        </w:tabs>
        <w:ind w:left="4320" w:hanging="360"/>
      </w:pPr>
    </w:lvl>
    <w:lvl w:ilvl="6" w:tplc="B8A04AB2" w:tentative="1">
      <w:start w:val="1"/>
      <w:numFmt w:val="decimal"/>
      <w:lvlText w:val="%7."/>
      <w:lvlJc w:val="left"/>
      <w:pPr>
        <w:tabs>
          <w:tab w:val="num" w:pos="5040"/>
        </w:tabs>
        <w:ind w:left="5040" w:hanging="360"/>
      </w:pPr>
    </w:lvl>
    <w:lvl w:ilvl="7" w:tplc="1E5C2EBA" w:tentative="1">
      <w:start w:val="1"/>
      <w:numFmt w:val="decimal"/>
      <w:lvlText w:val="%8."/>
      <w:lvlJc w:val="left"/>
      <w:pPr>
        <w:tabs>
          <w:tab w:val="num" w:pos="5760"/>
        </w:tabs>
        <w:ind w:left="5760" w:hanging="360"/>
      </w:pPr>
    </w:lvl>
    <w:lvl w:ilvl="8" w:tplc="F22ABB96" w:tentative="1">
      <w:start w:val="1"/>
      <w:numFmt w:val="decimal"/>
      <w:lvlText w:val="%9."/>
      <w:lvlJc w:val="left"/>
      <w:pPr>
        <w:tabs>
          <w:tab w:val="num" w:pos="6480"/>
        </w:tabs>
        <w:ind w:left="6480" w:hanging="360"/>
      </w:pPr>
    </w:lvl>
  </w:abstractNum>
  <w:num w:numId="1" w16cid:durableId="382867975">
    <w:abstractNumId w:val="1"/>
  </w:num>
  <w:num w:numId="2" w16cid:durableId="38290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7"/>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15B"/>
    <w:rsid w:val="0000552C"/>
    <w:rsid w:val="00191F7B"/>
    <w:rsid w:val="00301DEF"/>
    <w:rsid w:val="004B1F4B"/>
    <w:rsid w:val="004E0900"/>
    <w:rsid w:val="0065515B"/>
    <w:rsid w:val="0069752F"/>
    <w:rsid w:val="00794B06"/>
    <w:rsid w:val="007C0241"/>
    <w:rsid w:val="007F7473"/>
    <w:rsid w:val="00832C37"/>
    <w:rsid w:val="008B115C"/>
    <w:rsid w:val="00AC3101"/>
    <w:rsid w:val="00AE5CE2"/>
    <w:rsid w:val="00AF27D1"/>
    <w:rsid w:val="00BC14CC"/>
    <w:rsid w:val="00D13CCB"/>
    <w:rsid w:val="00D56A0F"/>
    <w:rsid w:val="00DA5E7B"/>
  </w:rsids>
  <m:mathPr>
    <m:mathFont m:val="Cambria Math"/>
    <m:brkBin m:val="before"/>
    <m:brkBinSub m:val="--"/>
    <m:smallFrac m:val="0"/>
    <m:dispDef/>
    <m:lMargin m:val="0"/>
    <m:rMargin m:val="0"/>
    <m:defJc m:val="centerGroup"/>
    <m:wrapIndent m:val="1440"/>
    <m:intLim m:val="subSup"/>
    <m:naryLim m:val="undOvr"/>
  </m:mathPr>
  <w:themeFontLang w:val="en-IT"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307EAF75"/>
  <w15:chartTrackingRefBased/>
  <w15:docId w15:val="{4133276A-F973-5140-BD9E-23A39C848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IT"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1F4B"/>
    <w:pPr>
      <w:spacing w:after="160" w:line="259" w:lineRule="auto"/>
      <w:ind w:left="720"/>
      <w:contextualSpacing/>
    </w:pPr>
    <w:rPr>
      <w:rFonts w:eastAsiaTheme="minorHAnsi"/>
      <w:sz w:val="22"/>
      <w:szCs w:val="22"/>
      <w:lang w:val="it-IT" w:eastAsia="en-US"/>
    </w:rPr>
  </w:style>
  <w:style w:type="character" w:styleId="Hyperlink">
    <w:name w:val="Hyperlink"/>
    <w:basedOn w:val="DefaultParagraphFont"/>
    <w:uiPriority w:val="99"/>
    <w:unhideWhenUsed/>
    <w:rsid w:val="004B1F4B"/>
    <w:rPr>
      <w:color w:val="0563C1" w:themeColor="hyperlink"/>
      <w:u w:val="single"/>
    </w:rPr>
  </w:style>
  <w:style w:type="character" w:styleId="UnresolvedMention">
    <w:name w:val="Unresolved Mention"/>
    <w:basedOn w:val="DefaultParagraphFont"/>
    <w:uiPriority w:val="99"/>
    <w:semiHidden/>
    <w:unhideWhenUsed/>
    <w:rsid w:val="004E09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07855">
      <w:bodyDiv w:val="1"/>
      <w:marLeft w:val="0"/>
      <w:marRight w:val="0"/>
      <w:marTop w:val="0"/>
      <w:marBottom w:val="0"/>
      <w:divBdr>
        <w:top w:val="none" w:sz="0" w:space="0" w:color="auto"/>
        <w:left w:val="none" w:sz="0" w:space="0" w:color="auto"/>
        <w:bottom w:val="none" w:sz="0" w:space="0" w:color="auto"/>
        <w:right w:val="none" w:sz="0" w:space="0" w:color="auto"/>
      </w:divBdr>
      <w:divsChild>
        <w:div w:id="1053192219">
          <w:marLeft w:val="806"/>
          <w:marRight w:val="0"/>
          <w:marTop w:val="200"/>
          <w:marBottom w:val="0"/>
          <w:divBdr>
            <w:top w:val="none" w:sz="0" w:space="0" w:color="auto"/>
            <w:left w:val="none" w:sz="0" w:space="0" w:color="auto"/>
            <w:bottom w:val="none" w:sz="0" w:space="0" w:color="auto"/>
            <w:right w:val="none" w:sz="0" w:space="0" w:color="auto"/>
          </w:divBdr>
        </w:div>
        <w:div w:id="1199011481">
          <w:marLeft w:val="806"/>
          <w:marRight w:val="0"/>
          <w:marTop w:val="200"/>
          <w:marBottom w:val="0"/>
          <w:divBdr>
            <w:top w:val="none" w:sz="0" w:space="0" w:color="auto"/>
            <w:left w:val="none" w:sz="0" w:space="0" w:color="auto"/>
            <w:bottom w:val="none" w:sz="0" w:space="0" w:color="auto"/>
            <w:right w:val="none" w:sz="0" w:space="0" w:color="auto"/>
          </w:divBdr>
        </w:div>
        <w:div w:id="150369712">
          <w:marLeft w:val="806"/>
          <w:marRight w:val="0"/>
          <w:marTop w:val="200"/>
          <w:marBottom w:val="0"/>
          <w:divBdr>
            <w:top w:val="none" w:sz="0" w:space="0" w:color="auto"/>
            <w:left w:val="none" w:sz="0" w:space="0" w:color="auto"/>
            <w:bottom w:val="none" w:sz="0" w:space="0" w:color="auto"/>
            <w:right w:val="none" w:sz="0" w:space="0" w:color="auto"/>
          </w:divBdr>
        </w:div>
        <w:div w:id="1020400339">
          <w:marLeft w:val="806"/>
          <w:marRight w:val="0"/>
          <w:marTop w:val="200"/>
          <w:marBottom w:val="0"/>
          <w:divBdr>
            <w:top w:val="none" w:sz="0" w:space="0" w:color="auto"/>
            <w:left w:val="none" w:sz="0" w:space="0" w:color="auto"/>
            <w:bottom w:val="none" w:sz="0" w:space="0" w:color="auto"/>
            <w:right w:val="none" w:sz="0" w:space="0" w:color="auto"/>
          </w:divBdr>
        </w:div>
        <w:div w:id="439497278">
          <w:marLeft w:val="1526"/>
          <w:marRight w:val="0"/>
          <w:marTop w:val="100"/>
          <w:marBottom w:val="0"/>
          <w:divBdr>
            <w:top w:val="none" w:sz="0" w:space="0" w:color="auto"/>
            <w:left w:val="none" w:sz="0" w:space="0" w:color="auto"/>
            <w:bottom w:val="none" w:sz="0" w:space="0" w:color="auto"/>
            <w:right w:val="none" w:sz="0" w:space="0" w:color="auto"/>
          </w:divBdr>
        </w:div>
        <w:div w:id="2099402265">
          <w:marLeft w:val="806"/>
          <w:marRight w:val="0"/>
          <w:marTop w:val="200"/>
          <w:marBottom w:val="0"/>
          <w:divBdr>
            <w:top w:val="none" w:sz="0" w:space="0" w:color="auto"/>
            <w:left w:val="none" w:sz="0" w:space="0" w:color="auto"/>
            <w:bottom w:val="none" w:sz="0" w:space="0" w:color="auto"/>
            <w:right w:val="none" w:sz="0" w:space="0" w:color="auto"/>
          </w:divBdr>
        </w:div>
        <w:div w:id="1393576338">
          <w:marLeft w:val="806"/>
          <w:marRight w:val="0"/>
          <w:marTop w:val="200"/>
          <w:marBottom w:val="0"/>
          <w:divBdr>
            <w:top w:val="none" w:sz="0" w:space="0" w:color="auto"/>
            <w:left w:val="none" w:sz="0" w:space="0" w:color="auto"/>
            <w:bottom w:val="none" w:sz="0" w:space="0" w:color="auto"/>
            <w:right w:val="none" w:sz="0" w:space="0" w:color="auto"/>
          </w:divBdr>
        </w:div>
      </w:divsChild>
    </w:div>
    <w:div w:id="209458876">
      <w:bodyDiv w:val="1"/>
      <w:marLeft w:val="0"/>
      <w:marRight w:val="0"/>
      <w:marTop w:val="0"/>
      <w:marBottom w:val="0"/>
      <w:divBdr>
        <w:top w:val="none" w:sz="0" w:space="0" w:color="auto"/>
        <w:left w:val="none" w:sz="0" w:space="0" w:color="auto"/>
        <w:bottom w:val="none" w:sz="0" w:space="0" w:color="auto"/>
        <w:right w:val="none" w:sz="0" w:space="0" w:color="auto"/>
      </w:divBdr>
    </w:div>
    <w:div w:id="758869705">
      <w:bodyDiv w:val="1"/>
      <w:marLeft w:val="0"/>
      <w:marRight w:val="0"/>
      <w:marTop w:val="0"/>
      <w:marBottom w:val="0"/>
      <w:divBdr>
        <w:top w:val="none" w:sz="0" w:space="0" w:color="auto"/>
        <w:left w:val="none" w:sz="0" w:space="0" w:color="auto"/>
        <w:bottom w:val="none" w:sz="0" w:space="0" w:color="auto"/>
        <w:right w:val="none" w:sz="0" w:space="0" w:color="auto"/>
      </w:divBdr>
    </w:div>
    <w:div w:id="2036151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ss.it/documents/20126/0/Policy+ISS+Gestione+risultati+della+ricerca+2021.pdf/c67aeecb-5d51-b7b9-959b-945692f618ce?t=1620641245572" TargetMode="External"/><Relationship Id="rId3" Type="http://schemas.openxmlformats.org/officeDocument/2006/relationships/settings" Target="settings.xml"/><Relationship Id="rId7" Type="http://schemas.openxmlformats.org/officeDocument/2006/relationships/hyperlink" Target="https://agenda.infn.it/e/coper.openscience/20230303Opendat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genda.infn.it/e/coper.openscience/20230303Opendata" TargetMode="External"/><Relationship Id="rId5" Type="http://schemas.openxmlformats.org/officeDocument/2006/relationships/hyperlink" Target="https://doi.org/10.15161/oar.it/76963"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4</Pages>
  <Words>965</Words>
  <Characters>5504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2023-02-22T05:37:00Z</dcterms:created>
  <dcterms:modified xsi:type="dcterms:W3CDTF">2023-03-20T07:37:00Z</dcterms:modified>
</cp:coreProperties>
</file>