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2C" w:rsidRPr="00A6392C" w:rsidRDefault="00A6392C">
      <w:pPr>
        <w:rPr>
          <w:lang w:val="en-US"/>
        </w:rPr>
      </w:pPr>
      <w:r w:rsidRPr="00A6392C">
        <w:rPr>
          <w:lang w:val="en-US"/>
        </w:rPr>
        <w:t>INFN LASA – MS1</w:t>
      </w:r>
      <w:r w:rsidR="000A1171">
        <w:rPr>
          <w:lang w:val="en-US"/>
        </w:rPr>
        <w:t>9</w:t>
      </w:r>
    </w:p>
    <w:p w:rsidR="00A6392C" w:rsidRPr="00A6392C" w:rsidRDefault="00A6392C">
      <w:pPr>
        <w:rPr>
          <w:lang w:val="en-US"/>
        </w:rPr>
      </w:pPr>
    </w:p>
    <w:p w:rsidR="00A6392C" w:rsidRPr="00A6392C" w:rsidRDefault="00A6392C">
      <w:pPr>
        <w:rPr>
          <w:rFonts w:ascii="Cambria" w:eastAsia="Times New Roman" w:hAnsi="Cambria" w:cs="Times New Roman"/>
          <w:b/>
          <w:sz w:val="20"/>
          <w:szCs w:val="20"/>
          <w:lang w:val="en-US" w:eastAsia="it-IT"/>
        </w:rPr>
      </w:pPr>
      <w:r w:rsidRPr="00A6392C">
        <w:rPr>
          <w:rFonts w:ascii="Cambria" w:eastAsia="Times New Roman" w:hAnsi="Cambria" w:cs="Times New Roman"/>
          <w:b/>
          <w:sz w:val="20"/>
          <w:szCs w:val="20"/>
          <w:lang w:val="en-US" w:eastAsia="it-IT"/>
        </w:rPr>
        <w:t>Short Description of the Facility</w:t>
      </w:r>
    </w:p>
    <w:p w:rsidR="00A6392C" w:rsidRPr="00A6392C" w:rsidRDefault="00A6392C">
      <w:pPr>
        <w:rPr>
          <w:rFonts w:ascii="Cambria" w:eastAsia="Times New Roman" w:hAnsi="Cambria" w:cs="Times New Roman"/>
          <w:sz w:val="20"/>
          <w:szCs w:val="20"/>
          <w:lang w:val="en-US" w:eastAsia="it-IT"/>
        </w:rPr>
      </w:pPr>
    </w:p>
    <w:p w:rsidR="00A6392C" w:rsidRDefault="00A6392C" w:rsidP="00A6392C">
      <w:pPr>
        <w:pStyle w:val="Intestazione"/>
        <w:tabs>
          <w:tab w:val="clear" w:pos="4819"/>
          <w:tab w:val="clear" w:pos="9638"/>
        </w:tabs>
        <w:rPr>
          <w:rFonts w:ascii="Cambria" w:hAnsi="Cambria"/>
          <w:lang w:val="en-US"/>
        </w:rPr>
      </w:pPr>
      <w:r>
        <w:rPr>
          <w:rFonts w:ascii="Cambria" w:hAnsi="Cambria"/>
          <w:lang w:val="en-US"/>
        </w:rPr>
        <w:t xml:space="preserve">LASA </w:t>
      </w:r>
      <w:r>
        <w:rPr>
          <w:rFonts w:ascii="Cambria" w:hAnsi="Cambria"/>
          <w:lang w:val="en-US"/>
        </w:rPr>
        <w:t xml:space="preserve">is characterized by the presence </w:t>
      </w:r>
      <w:r>
        <w:rPr>
          <w:rFonts w:ascii="Cambria" w:hAnsi="Cambria"/>
          <w:lang w:val="en-US"/>
        </w:rPr>
        <w:t>of four test facilities devoted to:</w:t>
      </w:r>
    </w:p>
    <w:p w:rsidR="00A6392C" w:rsidRDefault="00A6392C" w:rsidP="00A6392C">
      <w:pPr>
        <w:pStyle w:val="Intestazione"/>
        <w:tabs>
          <w:tab w:val="clear" w:pos="4819"/>
          <w:tab w:val="clear" w:pos="9638"/>
        </w:tabs>
        <w:rPr>
          <w:rFonts w:ascii="Cambria" w:hAnsi="Cambria"/>
          <w:lang w:val="en-US"/>
        </w:rPr>
      </w:pPr>
    </w:p>
    <w:p w:rsidR="00A6392C" w:rsidRPr="00DC4C71" w:rsidRDefault="00A6392C" w:rsidP="00A6392C">
      <w:pPr>
        <w:pStyle w:val="Intestazione"/>
        <w:numPr>
          <w:ilvl w:val="0"/>
          <w:numId w:val="1"/>
        </w:numPr>
        <w:tabs>
          <w:tab w:val="clear" w:pos="4819"/>
          <w:tab w:val="clear" w:pos="9638"/>
        </w:tabs>
        <w:rPr>
          <w:rFonts w:ascii="Cambria" w:hAnsi="Cambria"/>
          <w:lang w:val="en-US"/>
        </w:rPr>
      </w:pPr>
      <w:r>
        <w:rPr>
          <w:rFonts w:ascii="Cambria" w:hAnsi="Cambria"/>
          <w:lang w:val="en-US"/>
        </w:rPr>
        <w:t xml:space="preserve">Superconducting </w:t>
      </w:r>
      <w:r>
        <w:rPr>
          <w:rFonts w:ascii="Cambria" w:hAnsi="Cambria"/>
          <w:lang w:val="en-US"/>
        </w:rPr>
        <w:t xml:space="preserve">(SC) </w:t>
      </w:r>
      <w:r>
        <w:rPr>
          <w:rFonts w:ascii="Cambria" w:hAnsi="Cambria"/>
          <w:lang w:val="en-US"/>
        </w:rPr>
        <w:t>Magnets</w:t>
      </w:r>
    </w:p>
    <w:p w:rsidR="00A6392C" w:rsidRPr="00172214" w:rsidRDefault="00A6392C" w:rsidP="00A6392C">
      <w:pPr>
        <w:pStyle w:val="Intestazione"/>
        <w:numPr>
          <w:ilvl w:val="0"/>
          <w:numId w:val="1"/>
        </w:numPr>
        <w:tabs>
          <w:tab w:val="clear" w:pos="4819"/>
          <w:tab w:val="clear" w:pos="9638"/>
        </w:tabs>
        <w:rPr>
          <w:rFonts w:ascii="Cambria" w:hAnsi="Cambria"/>
          <w:lang w:val="en-US"/>
        </w:rPr>
      </w:pPr>
      <w:r w:rsidRPr="00172214">
        <w:rPr>
          <w:rFonts w:ascii="Cambria" w:hAnsi="Cambria"/>
          <w:lang w:val="en-US"/>
        </w:rPr>
        <w:t xml:space="preserve">Superconducting </w:t>
      </w:r>
      <w:r>
        <w:rPr>
          <w:rFonts w:ascii="Cambria" w:hAnsi="Cambria"/>
          <w:lang w:val="en-US"/>
        </w:rPr>
        <w:t xml:space="preserve">(SC) </w:t>
      </w:r>
      <w:r w:rsidRPr="00172214">
        <w:rPr>
          <w:rFonts w:ascii="Cambria" w:hAnsi="Cambria"/>
          <w:lang w:val="en-US"/>
        </w:rPr>
        <w:t>RF Cavities</w:t>
      </w:r>
    </w:p>
    <w:p w:rsidR="00A6392C" w:rsidRPr="00172214" w:rsidRDefault="00A6392C" w:rsidP="00A6392C">
      <w:pPr>
        <w:pStyle w:val="Intestazione"/>
        <w:numPr>
          <w:ilvl w:val="0"/>
          <w:numId w:val="1"/>
        </w:numPr>
        <w:tabs>
          <w:tab w:val="clear" w:pos="4819"/>
          <w:tab w:val="clear" w:pos="9638"/>
        </w:tabs>
        <w:rPr>
          <w:rFonts w:ascii="Cambria" w:hAnsi="Cambria"/>
          <w:lang w:val="en-US"/>
        </w:rPr>
      </w:pPr>
      <w:r w:rsidRPr="00172214">
        <w:rPr>
          <w:rFonts w:ascii="Cambria" w:hAnsi="Cambria"/>
          <w:lang w:val="en-US"/>
        </w:rPr>
        <w:t>High Brightness Photocathodes for Electron Sources</w:t>
      </w:r>
    </w:p>
    <w:p w:rsidR="00A6392C" w:rsidRPr="00172214" w:rsidRDefault="00A6392C" w:rsidP="00A6392C">
      <w:pPr>
        <w:pStyle w:val="Intestazione"/>
        <w:numPr>
          <w:ilvl w:val="0"/>
          <w:numId w:val="1"/>
        </w:numPr>
        <w:tabs>
          <w:tab w:val="clear" w:pos="4819"/>
          <w:tab w:val="clear" w:pos="9638"/>
        </w:tabs>
        <w:rPr>
          <w:rFonts w:ascii="Cambria" w:hAnsi="Cambria"/>
          <w:lang w:val="en-US"/>
        </w:rPr>
      </w:pPr>
      <w:r w:rsidRPr="00172214">
        <w:rPr>
          <w:rFonts w:ascii="Cambria" w:hAnsi="Cambria"/>
          <w:lang w:val="en-US"/>
        </w:rPr>
        <w:t xml:space="preserve">Laser Applications to High Power Fabry Perot </w:t>
      </w:r>
      <w:r w:rsidRPr="00172214">
        <w:rPr>
          <w:rFonts w:ascii="Cambria" w:hAnsi="Cambria"/>
          <w:lang w:val="en-US"/>
        </w:rPr>
        <w:t>Cavities</w:t>
      </w:r>
      <w:r>
        <w:rPr>
          <w:rFonts w:ascii="Cambria" w:hAnsi="Cambria"/>
          <w:lang w:val="en-US"/>
        </w:rPr>
        <w:t xml:space="preserve"> </w:t>
      </w:r>
      <w:r w:rsidRPr="00172214">
        <w:rPr>
          <w:rFonts w:ascii="Cambria" w:hAnsi="Cambria"/>
          <w:lang w:val="en-US"/>
        </w:rPr>
        <w:t>and</w:t>
      </w:r>
      <w:r w:rsidRPr="00172214">
        <w:rPr>
          <w:rFonts w:ascii="Cambria" w:hAnsi="Cambria"/>
          <w:lang w:val="en-US"/>
        </w:rPr>
        <w:t xml:space="preserve"> Advanced Timing Systems.</w:t>
      </w:r>
    </w:p>
    <w:p w:rsidR="00A6392C" w:rsidRPr="00A6392C" w:rsidRDefault="00A6392C" w:rsidP="00A6392C">
      <w:pPr>
        <w:pStyle w:val="Intestazione"/>
        <w:tabs>
          <w:tab w:val="clear" w:pos="4819"/>
          <w:tab w:val="clear" w:pos="9638"/>
        </w:tabs>
        <w:rPr>
          <w:rFonts w:ascii="Cambria" w:hAnsi="Cambria"/>
          <w:lang w:val="en-US"/>
        </w:rPr>
      </w:pPr>
    </w:p>
    <w:p w:rsidR="00A6392C" w:rsidRDefault="000A1171" w:rsidP="00A6392C">
      <w:pPr>
        <w:pStyle w:val="Intestazione"/>
        <w:tabs>
          <w:tab w:val="clear" w:pos="4819"/>
          <w:tab w:val="clear" w:pos="9638"/>
        </w:tabs>
        <w:rPr>
          <w:rFonts w:ascii="Cambria" w:hAnsi="Cambria"/>
          <w:lang w:val="en-US"/>
        </w:rPr>
      </w:pPr>
      <w:r>
        <w:rPr>
          <w:rFonts w:ascii="Cambria" w:hAnsi="Cambria"/>
          <w:lang w:val="en-US"/>
        </w:rPr>
        <w:t>The four facilities have been conceived at the beginning as research facilities for the activities undergoing at LASA. The more relevant part of efforts has been dedicated equipping them with advanced instrumentation.</w:t>
      </w:r>
    </w:p>
    <w:p w:rsidR="000A1171" w:rsidRDefault="000A1171" w:rsidP="00A6392C">
      <w:pPr>
        <w:pStyle w:val="Intestazione"/>
        <w:tabs>
          <w:tab w:val="clear" w:pos="4819"/>
          <w:tab w:val="clear" w:pos="9638"/>
        </w:tabs>
        <w:rPr>
          <w:rFonts w:ascii="Cambria" w:hAnsi="Cambria"/>
          <w:lang w:val="en-US"/>
        </w:rPr>
      </w:pPr>
    </w:p>
    <w:p w:rsidR="000A1171" w:rsidRDefault="000A1171" w:rsidP="00A6392C">
      <w:pPr>
        <w:pStyle w:val="Intestazione"/>
        <w:tabs>
          <w:tab w:val="clear" w:pos="4819"/>
          <w:tab w:val="clear" w:pos="9638"/>
        </w:tabs>
        <w:rPr>
          <w:rFonts w:ascii="Cambria" w:hAnsi="Cambria"/>
          <w:lang w:val="en-US"/>
        </w:rPr>
      </w:pPr>
      <w:r>
        <w:rPr>
          <w:rFonts w:ascii="Cambria" w:hAnsi="Cambria"/>
          <w:lang w:val="en-US"/>
        </w:rPr>
        <w:t xml:space="preserve">The service improvements foreseen in this program are devoted to revamp the control and data acquisition infrastructures in order to facilitate their usage from external users. </w:t>
      </w:r>
      <w:r w:rsidR="00EC4145">
        <w:rPr>
          <w:rFonts w:ascii="Cambria" w:hAnsi="Cambria"/>
          <w:lang w:val="en-US"/>
        </w:rPr>
        <w:t>Moreover,</w:t>
      </w:r>
      <w:r>
        <w:rPr>
          <w:rFonts w:ascii="Cambria" w:hAnsi="Cambria"/>
          <w:lang w:val="en-US"/>
        </w:rPr>
        <w:t xml:space="preserve"> we have to consider that the usage of the 2 SC based facilities require consumables very expensive (a RF cavity test may require 200-300 </w:t>
      </w:r>
      <w:proofErr w:type="spellStart"/>
      <w:r>
        <w:rPr>
          <w:rFonts w:ascii="Cambria" w:hAnsi="Cambria"/>
          <w:lang w:val="en-US"/>
        </w:rPr>
        <w:t>LHe</w:t>
      </w:r>
      <w:proofErr w:type="spellEnd"/>
      <w:r>
        <w:rPr>
          <w:rFonts w:ascii="Cambria" w:hAnsi="Cambria"/>
          <w:lang w:val="en-US"/>
        </w:rPr>
        <w:t xml:space="preserve"> and the cost of it is of the order of 25 Euro/l).</w:t>
      </w:r>
    </w:p>
    <w:p w:rsidR="000A1171" w:rsidRDefault="000A1171" w:rsidP="00A6392C">
      <w:pPr>
        <w:pStyle w:val="Intestazione"/>
        <w:tabs>
          <w:tab w:val="clear" w:pos="4819"/>
          <w:tab w:val="clear" w:pos="9638"/>
        </w:tabs>
        <w:rPr>
          <w:rFonts w:ascii="Cambria" w:hAnsi="Cambria"/>
          <w:lang w:val="en-US"/>
        </w:rPr>
      </w:pPr>
    </w:p>
    <w:p w:rsidR="000A1171" w:rsidRPr="00EC4145" w:rsidRDefault="000A1171" w:rsidP="00A6392C">
      <w:pPr>
        <w:pStyle w:val="Intestazione"/>
        <w:tabs>
          <w:tab w:val="clear" w:pos="4819"/>
          <w:tab w:val="clear" w:pos="9638"/>
        </w:tabs>
        <w:rPr>
          <w:rFonts w:ascii="Cambria" w:hAnsi="Cambria"/>
          <w:b/>
          <w:lang w:val="en-US"/>
        </w:rPr>
      </w:pPr>
      <w:r w:rsidRPr="00EC4145">
        <w:rPr>
          <w:rFonts w:ascii="Cambria" w:hAnsi="Cambria"/>
          <w:b/>
          <w:lang w:val="en-US"/>
        </w:rPr>
        <w:t>Details for the planned activities</w:t>
      </w:r>
    </w:p>
    <w:p w:rsidR="000A1171" w:rsidRDefault="000A1171" w:rsidP="00A6392C">
      <w:pPr>
        <w:pStyle w:val="Intestazione"/>
        <w:tabs>
          <w:tab w:val="clear" w:pos="4819"/>
          <w:tab w:val="clear" w:pos="9638"/>
        </w:tabs>
        <w:rPr>
          <w:rFonts w:ascii="Cambria" w:hAnsi="Cambria"/>
          <w:lang w:val="en-US"/>
        </w:rPr>
      </w:pPr>
    </w:p>
    <w:p w:rsidR="00EC4145" w:rsidRDefault="00EC4145" w:rsidP="00EC4145">
      <w:pPr>
        <w:pStyle w:val="Intestazione"/>
        <w:tabs>
          <w:tab w:val="clear" w:pos="4819"/>
          <w:tab w:val="clear" w:pos="9638"/>
        </w:tabs>
        <w:rPr>
          <w:lang w:val="en-US"/>
        </w:rPr>
      </w:pPr>
      <w:r>
        <w:rPr>
          <w:lang w:val="en-US"/>
        </w:rPr>
        <w:t xml:space="preserve">The possibility to expand the number and the panorama of </w:t>
      </w:r>
      <w:r>
        <w:rPr>
          <w:lang w:val="en-US"/>
        </w:rPr>
        <w:t>users</w:t>
      </w:r>
      <w:r>
        <w:rPr>
          <w:lang w:val="en-US"/>
        </w:rPr>
        <w:t xml:space="preserve"> will request few improvement activities on the following subsystems:</w:t>
      </w:r>
    </w:p>
    <w:p w:rsidR="00EC4145" w:rsidRDefault="00EC4145" w:rsidP="00EC4145">
      <w:pPr>
        <w:pStyle w:val="Intestazione"/>
        <w:tabs>
          <w:tab w:val="clear" w:pos="4819"/>
          <w:tab w:val="clear" w:pos="9638"/>
        </w:tabs>
        <w:rPr>
          <w:lang w:val="en-US"/>
        </w:rPr>
      </w:pPr>
    </w:p>
    <w:p w:rsidR="00EC4145" w:rsidRDefault="00EC4145" w:rsidP="00EC4145">
      <w:pPr>
        <w:pStyle w:val="Intestazione"/>
        <w:numPr>
          <w:ilvl w:val="0"/>
          <w:numId w:val="2"/>
        </w:numPr>
        <w:tabs>
          <w:tab w:val="clear" w:pos="4819"/>
          <w:tab w:val="clear" w:pos="9638"/>
        </w:tabs>
        <w:rPr>
          <w:lang w:val="en-US"/>
        </w:rPr>
      </w:pPr>
      <w:r w:rsidRPr="00117048">
        <w:rPr>
          <w:lang w:val="en-US"/>
        </w:rPr>
        <w:t>control system performances</w:t>
      </w:r>
    </w:p>
    <w:p w:rsidR="00EC4145" w:rsidRDefault="00EC4145" w:rsidP="00EC4145">
      <w:pPr>
        <w:pStyle w:val="Intestazione"/>
        <w:numPr>
          <w:ilvl w:val="0"/>
          <w:numId w:val="2"/>
        </w:numPr>
        <w:tabs>
          <w:tab w:val="clear" w:pos="4819"/>
          <w:tab w:val="clear" w:pos="9638"/>
        </w:tabs>
        <w:rPr>
          <w:lang w:val="en-US"/>
        </w:rPr>
      </w:pPr>
      <w:r>
        <w:rPr>
          <w:lang w:val="en-US"/>
        </w:rPr>
        <w:t>automatized data acquisition procedures</w:t>
      </w:r>
    </w:p>
    <w:p w:rsidR="00EC4145" w:rsidRDefault="00EC4145" w:rsidP="00EC4145">
      <w:pPr>
        <w:pStyle w:val="Intestazione"/>
        <w:numPr>
          <w:ilvl w:val="0"/>
          <w:numId w:val="2"/>
        </w:numPr>
        <w:tabs>
          <w:tab w:val="clear" w:pos="4819"/>
          <w:tab w:val="clear" w:pos="9638"/>
        </w:tabs>
        <w:rPr>
          <w:lang w:val="en-US"/>
        </w:rPr>
      </w:pPr>
      <w:r>
        <w:rPr>
          <w:lang w:val="en-US"/>
        </w:rPr>
        <w:t>new data storage and analysis networks</w:t>
      </w:r>
    </w:p>
    <w:p w:rsidR="00EC4145" w:rsidRDefault="00EC4145" w:rsidP="00EC4145">
      <w:pPr>
        <w:pStyle w:val="Intestazione"/>
        <w:numPr>
          <w:ilvl w:val="0"/>
          <w:numId w:val="2"/>
        </w:numPr>
        <w:tabs>
          <w:tab w:val="clear" w:pos="4819"/>
          <w:tab w:val="clear" w:pos="9638"/>
        </w:tabs>
        <w:rPr>
          <w:lang w:val="en-US"/>
        </w:rPr>
      </w:pPr>
      <w:r>
        <w:rPr>
          <w:lang w:val="en-US"/>
        </w:rPr>
        <w:t>more comfortable HMI facilities</w:t>
      </w:r>
    </w:p>
    <w:p w:rsidR="00EC4145" w:rsidRDefault="00EC4145" w:rsidP="00A6392C">
      <w:pPr>
        <w:pStyle w:val="Intestazione"/>
        <w:tabs>
          <w:tab w:val="clear" w:pos="4819"/>
          <w:tab w:val="clear" w:pos="9638"/>
        </w:tabs>
        <w:rPr>
          <w:rFonts w:ascii="Cambria" w:hAnsi="Cambria"/>
          <w:lang w:val="en-US"/>
        </w:rPr>
      </w:pPr>
    </w:p>
    <w:p w:rsidR="000A1171" w:rsidRDefault="000A1171" w:rsidP="00A6392C">
      <w:pPr>
        <w:pStyle w:val="Intestazione"/>
        <w:tabs>
          <w:tab w:val="clear" w:pos="4819"/>
          <w:tab w:val="clear" w:pos="9638"/>
        </w:tabs>
        <w:rPr>
          <w:rFonts w:ascii="Cambria" w:hAnsi="Cambria"/>
          <w:lang w:val="en-US"/>
        </w:rPr>
      </w:pPr>
    </w:p>
    <w:p w:rsidR="000A1171" w:rsidRPr="00EC4145" w:rsidRDefault="000A1171" w:rsidP="00A6392C">
      <w:pPr>
        <w:pStyle w:val="Intestazione"/>
        <w:tabs>
          <w:tab w:val="clear" w:pos="4819"/>
          <w:tab w:val="clear" w:pos="9638"/>
        </w:tabs>
        <w:rPr>
          <w:rFonts w:ascii="Cambria" w:hAnsi="Cambria"/>
          <w:b/>
          <w:lang w:val="en-US"/>
        </w:rPr>
      </w:pPr>
      <w:r w:rsidRPr="00EC4145">
        <w:rPr>
          <w:rFonts w:ascii="Cambria" w:hAnsi="Cambria"/>
          <w:b/>
          <w:lang w:val="en-US"/>
        </w:rPr>
        <w:t>Budget Planning</w:t>
      </w:r>
    </w:p>
    <w:p w:rsidR="000A1171" w:rsidRDefault="000A1171" w:rsidP="00A6392C">
      <w:pPr>
        <w:pStyle w:val="Intestazione"/>
        <w:tabs>
          <w:tab w:val="clear" w:pos="4819"/>
          <w:tab w:val="clear" w:pos="9638"/>
        </w:tabs>
        <w:rPr>
          <w:rFonts w:ascii="Cambria" w:hAnsi="Cambria"/>
          <w:lang w:val="en-US"/>
        </w:rPr>
      </w:pPr>
    </w:p>
    <w:p w:rsidR="00EC4145" w:rsidRDefault="00EC4145" w:rsidP="00A6392C">
      <w:pPr>
        <w:pStyle w:val="Intestazione"/>
        <w:tabs>
          <w:tab w:val="clear" w:pos="4819"/>
          <w:tab w:val="clear" w:pos="9638"/>
        </w:tabs>
        <w:rPr>
          <w:rFonts w:ascii="Cambria" w:hAnsi="Cambria"/>
          <w:lang w:val="en-US"/>
        </w:rPr>
      </w:pPr>
      <w:r>
        <w:rPr>
          <w:rFonts w:ascii="Cambria" w:hAnsi="Cambria"/>
          <w:lang w:val="en-US"/>
        </w:rPr>
        <w:t>We are going to give priority to improvements in automatic control and data acquisition procedures to allow an easier access to the facilities.</w:t>
      </w:r>
    </w:p>
    <w:p w:rsidR="00EC4145" w:rsidRPr="00EC4145" w:rsidRDefault="00EC4145" w:rsidP="00EC4145">
      <w:pPr>
        <w:pStyle w:val="Intestazione"/>
        <w:rPr>
          <w:rFonts w:ascii="Cambria" w:hAnsi="Cambria"/>
          <w:lang w:val="en-US"/>
        </w:rPr>
      </w:pPr>
      <w:r w:rsidRPr="00EC4145">
        <w:rPr>
          <w:rFonts w:ascii="Cambria" w:hAnsi="Cambria"/>
          <w:lang w:val="en"/>
        </w:rPr>
        <w:t>This will involve an unbalanced expenditure commitment towards the first two years of activity</w:t>
      </w:r>
    </w:p>
    <w:p w:rsidR="00EC4145" w:rsidRDefault="00EC4145" w:rsidP="00A6392C">
      <w:pPr>
        <w:pStyle w:val="Intestazione"/>
        <w:tabs>
          <w:tab w:val="clear" w:pos="4819"/>
          <w:tab w:val="clear" w:pos="9638"/>
        </w:tabs>
        <w:rPr>
          <w:rFonts w:ascii="Cambria" w:hAnsi="Cambria"/>
          <w:lang w:val="en-US"/>
        </w:rPr>
      </w:pPr>
    </w:p>
    <w:p w:rsidR="000A1171" w:rsidRPr="00A6392C" w:rsidRDefault="000A1171" w:rsidP="00A6392C">
      <w:pPr>
        <w:pStyle w:val="Intestazione"/>
        <w:tabs>
          <w:tab w:val="clear" w:pos="4819"/>
          <w:tab w:val="clear" w:pos="9638"/>
        </w:tabs>
        <w:rPr>
          <w:rFonts w:ascii="Cambria" w:hAnsi="Cambria"/>
          <w:lang w:val="en-US"/>
        </w:rPr>
      </w:pPr>
      <w:bookmarkStart w:id="0" w:name="_GoBack"/>
      <w:bookmarkEnd w:id="0"/>
    </w:p>
    <w:p w:rsidR="00A6392C" w:rsidRPr="00A6392C" w:rsidRDefault="00A6392C" w:rsidP="00A6392C">
      <w:pPr>
        <w:pStyle w:val="Intestazione"/>
        <w:tabs>
          <w:tab w:val="clear" w:pos="4819"/>
          <w:tab w:val="clear" w:pos="9638"/>
        </w:tabs>
        <w:rPr>
          <w:rFonts w:ascii="Cambria" w:hAnsi="Cambria"/>
          <w:b/>
          <w:lang w:val="en-US"/>
        </w:rPr>
      </w:pPr>
      <w:r w:rsidRPr="00A6392C">
        <w:rPr>
          <w:rFonts w:ascii="Cambria" w:hAnsi="Cambria"/>
          <w:b/>
          <w:lang w:val="en-US"/>
        </w:rPr>
        <w:t>Status of the Facility</w:t>
      </w:r>
    </w:p>
    <w:p w:rsidR="00A6392C" w:rsidRPr="00A6392C" w:rsidRDefault="00A6392C" w:rsidP="00A6392C">
      <w:pPr>
        <w:pStyle w:val="Intestazione"/>
        <w:tabs>
          <w:tab w:val="clear" w:pos="4819"/>
          <w:tab w:val="clear" w:pos="9638"/>
        </w:tabs>
        <w:rPr>
          <w:rFonts w:ascii="Cambria" w:hAnsi="Cambria"/>
          <w:lang w:val="en-US"/>
        </w:rPr>
      </w:pPr>
    </w:p>
    <w:p w:rsidR="00A6392C" w:rsidRPr="00A6392C" w:rsidRDefault="00A6392C" w:rsidP="00A6392C">
      <w:pPr>
        <w:pStyle w:val="Intestazione"/>
        <w:tabs>
          <w:tab w:val="clear" w:pos="4819"/>
          <w:tab w:val="clear" w:pos="9638"/>
        </w:tabs>
        <w:rPr>
          <w:rFonts w:ascii="Cambria" w:hAnsi="Cambria"/>
          <w:lang w:val="en-US"/>
        </w:rPr>
      </w:pPr>
      <w:r w:rsidRPr="00A6392C">
        <w:rPr>
          <w:rFonts w:ascii="Cambria" w:hAnsi="Cambria"/>
          <w:lang w:val="en-US"/>
        </w:rPr>
        <w:t>The four LASA facility are ready to accept users from external institutions. All the four facilities are operative and in use.</w:t>
      </w:r>
    </w:p>
    <w:p w:rsidR="00A6392C" w:rsidRPr="00A6392C" w:rsidRDefault="00A6392C" w:rsidP="00A6392C">
      <w:pPr>
        <w:pStyle w:val="Intestazione"/>
        <w:tabs>
          <w:tab w:val="clear" w:pos="4819"/>
          <w:tab w:val="clear" w:pos="9638"/>
        </w:tabs>
        <w:rPr>
          <w:rFonts w:ascii="Cambria" w:hAnsi="Cambria"/>
          <w:lang w:val="en-US"/>
        </w:rPr>
      </w:pPr>
      <w:r w:rsidRPr="00A6392C">
        <w:rPr>
          <w:rFonts w:ascii="Cambria" w:hAnsi="Cambria"/>
          <w:lang w:val="en-US"/>
        </w:rPr>
        <w:t>We may have the first users within 1 month. All the safety device procurements and safety procedures are underway, and this time is the one required to complete these actions.</w:t>
      </w:r>
    </w:p>
    <w:p w:rsidR="00A6392C" w:rsidRPr="00A6392C" w:rsidRDefault="00A6392C" w:rsidP="00A6392C">
      <w:pPr>
        <w:pStyle w:val="Intestazione"/>
        <w:tabs>
          <w:tab w:val="clear" w:pos="4819"/>
          <w:tab w:val="clear" w:pos="9638"/>
        </w:tabs>
        <w:rPr>
          <w:rFonts w:ascii="Cambria" w:hAnsi="Cambria"/>
          <w:lang w:val="en-US"/>
        </w:rPr>
      </w:pPr>
      <w:r w:rsidRPr="00A6392C">
        <w:rPr>
          <w:rFonts w:ascii="Cambria" w:hAnsi="Cambria"/>
          <w:lang w:val="en-US"/>
        </w:rPr>
        <w:t>Service improvements may be carried out in the meantime we proceed with the first experimental activities.</w:t>
      </w:r>
    </w:p>
    <w:p w:rsidR="00A6392C" w:rsidRDefault="00A6392C">
      <w:pPr>
        <w:rPr>
          <w:lang w:val="en-US"/>
        </w:rPr>
      </w:pPr>
    </w:p>
    <w:p w:rsidR="00A6392C" w:rsidRPr="00EC4145" w:rsidRDefault="00A6392C">
      <w:pPr>
        <w:rPr>
          <w:rFonts w:ascii="Cambria" w:eastAsia="Times New Roman" w:hAnsi="Cambria" w:cs="Times New Roman"/>
          <w:b/>
          <w:sz w:val="20"/>
          <w:szCs w:val="20"/>
          <w:lang w:val="en-US" w:eastAsia="it-IT"/>
        </w:rPr>
      </w:pPr>
      <w:r w:rsidRPr="00EC4145">
        <w:rPr>
          <w:rFonts w:ascii="Cambria" w:eastAsia="Times New Roman" w:hAnsi="Cambria" w:cs="Times New Roman"/>
          <w:b/>
          <w:sz w:val="20"/>
          <w:szCs w:val="20"/>
          <w:lang w:val="en-US" w:eastAsia="it-IT"/>
        </w:rPr>
        <w:t>Expected Users</w:t>
      </w:r>
    </w:p>
    <w:p w:rsidR="00A6392C" w:rsidRPr="00A6392C" w:rsidRDefault="00A6392C">
      <w:pPr>
        <w:rPr>
          <w:rFonts w:ascii="Cambria" w:eastAsia="Times New Roman" w:hAnsi="Cambria" w:cs="Times New Roman"/>
          <w:sz w:val="20"/>
          <w:szCs w:val="20"/>
          <w:lang w:val="en-US" w:eastAsia="it-IT"/>
        </w:rPr>
      </w:pPr>
    </w:p>
    <w:p w:rsidR="00A6392C" w:rsidRPr="00A6392C" w:rsidRDefault="00A6392C">
      <w:pPr>
        <w:rPr>
          <w:rFonts w:ascii="Cambria" w:eastAsia="Times New Roman" w:hAnsi="Cambria" w:cs="Times New Roman"/>
          <w:sz w:val="20"/>
          <w:szCs w:val="20"/>
          <w:lang w:val="en-US" w:eastAsia="it-IT"/>
        </w:rPr>
      </w:pPr>
      <w:r w:rsidRPr="00A6392C">
        <w:rPr>
          <w:rFonts w:ascii="Cambria" w:eastAsia="Times New Roman" w:hAnsi="Cambria" w:cs="Times New Roman"/>
          <w:sz w:val="20"/>
          <w:szCs w:val="20"/>
          <w:lang w:val="en-US" w:eastAsia="it-IT"/>
        </w:rPr>
        <w:t>The facilities above described are of interest for many research activities both in Europe and all around the world.</w:t>
      </w:r>
    </w:p>
    <w:p w:rsidR="00A6392C" w:rsidRPr="00A6392C" w:rsidRDefault="00A6392C">
      <w:pPr>
        <w:rPr>
          <w:rFonts w:ascii="Cambria" w:eastAsia="Times New Roman" w:hAnsi="Cambria" w:cs="Times New Roman"/>
          <w:sz w:val="20"/>
          <w:szCs w:val="20"/>
          <w:lang w:val="en-US" w:eastAsia="it-IT"/>
        </w:rPr>
      </w:pPr>
      <w:r w:rsidRPr="00A6392C">
        <w:rPr>
          <w:rFonts w:ascii="Cambria" w:eastAsia="Times New Roman" w:hAnsi="Cambria" w:cs="Times New Roman"/>
          <w:sz w:val="20"/>
          <w:szCs w:val="20"/>
          <w:lang w:val="en-US" w:eastAsia="it-IT"/>
        </w:rPr>
        <w:t>The typical users may be researchers that will improve their knowledge on basic physics after taking their University Degree of to refine their thesis during a PhD.</w:t>
      </w:r>
    </w:p>
    <w:p w:rsidR="00A6392C" w:rsidRPr="00A6392C" w:rsidRDefault="00A6392C">
      <w:pPr>
        <w:rPr>
          <w:rFonts w:ascii="Cambria" w:eastAsia="Times New Roman" w:hAnsi="Cambria" w:cs="Times New Roman"/>
          <w:sz w:val="20"/>
          <w:szCs w:val="20"/>
          <w:lang w:val="en-US" w:eastAsia="it-IT"/>
        </w:rPr>
      </w:pPr>
      <w:r w:rsidRPr="00A6392C">
        <w:rPr>
          <w:rFonts w:ascii="Cambria" w:eastAsia="Times New Roman" w:hAnsi="Cambria" w:cs="Times New Roman"/>
          <w:sz w:val="20"/>
          <w:szCs w:val="20"/>
          <w:lang w:val="en-US" w:eastAsia="it-IT"/>
        </w:rPr>
        <w:t>Advanced senior researchers may propose advanced research programs taking advantage both of the peculiar instrumentation available and of the experience of the people dedicated at each facility.</w:t>
      </w:r>
    </w:p>
    <w:p w:rsidR="00A6392C" w:rsidRPr="00A6392C" w:rsidRDefault="00A6392C">
      <w:pPr>
        <w:rPr>
          <w:rFonts w:ascii="Cambria" w:eastAsia="Times New Roman" w:hAnsi="Cambria" w:cs="Times New Roman"/>
          <w:sz w:val="20"/>
          <w:szCs w:val="20"/>
          <w:lang w:val="en-US" w:eastAsia="it-IT"/>
        </w:rPr>
      </w:pPr>
      <w:r w:rsidRPr="00A6392C">
        <w:rPr>
          <w:rFonts w:ascii="Cambria" w:eastAsia="Times New Roman" w:hAnsi="Cambria" w:cs="Times New Roman"/>
          <w:sz w:val="20"/>
          <w:szCs w:val="20"/>
          <w:lang w:val="en-US" w:eastAsia="it-IT"/>
        </w:rPr>
        <w:t>To promote the availability of these facilities we are preparing a dedicated leaflet and a video to show all the opportunities.</w:t>
      </w:r>
    </w:p>
    <w:p w:rsidR="00A6392C" w:rsidRDefault="00A6392C">
      <w:pPr>
        <w:rPr>
          <w:lang w:val="en-US"/>
        </w:rPr>
      </w:pPr>
    </w:p>
    <w:p w:rsidR="00A6392C" w:rsidRPr="00A6392C" w:rsidRDefault="00A6392C">
      <w:pPr>
        <w:rPr>
          <w:lang w:val="en-US"/>
        </w:rPr>
      </w:pPr>
    </w:p>
    <w:sectPr w:rsidR="00A6392C" w:rsidRPr="00A6392C" w:rsidSect="00FE531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08DF"/>
    <w:multiLevelType w:val="hybridMultilevel"/>
    <w:tmpl w:val="1F9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462313"/>
    <w:multiLevelType w:val="hybridMultilevel"/>
    <w:tmpl w:val="77E27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2C"/>
    <w:rsid w:val="000A1171"/>
    <w:rsid w:val="009E4CB0"/>
    <w:rsid w:val="00A6392C"/>
    <w:rsid w:val="00EC4145"/>
    <w:rsid w:val="00FE5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C02D"/>
  <w15:chartTrackingRefBased/>
  <w15:docId w15:val="{C79E3542-1247-0349-A691-C639AA88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6392C"/>
    <w:pPr>
      <w:tabs>
        <w:tab w:val="center" w:pos="4819"/>
        <w:tab w:val="right" w:pos="9638"/>
      </w:tabs>
    </w:pPr>
    <w:rPr>
      <w:rFonts w:ascii="Times New Roman" w:eastAsia="Times New Roman" w:hAnsi="Times New Roman" w:cs="Times New Roman"/>
      <w:sz w:val="20"/>
      <w:szCs w:val="20"/>
      <w:lang w:val="sq-AL" w:eastAsia="it-IT"/>
    </w:rPr>
  </w:style>
  <w:style w:type="character" w:customStyle="1" w:styleId="IntestazioneCarattere">
    <w:name w:val="Intestazione Carattere"/>
    <w:basedOn w:val="Carpredefinitoparagrafo"/>
    <w:link w:val="Intestazione"/>
    <w:rsid w:val="00A6392C"/>
    <w:rPr>
      <w:rFonts w:ascii="Times New Roman" w:eastAsia="Times New Roman" w:hAnsi="Times New Roman" w:cs="Times New Roman"/>
      <w:sz w:val="20"/>
      <w:szCs w:val="20"/>
      <w:lang w:val="sq-A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2143</Characters>
  <Application>Microsoft Office Word</Application>
  <DocSecurity>0</DocSecurity>
  <Lines>40</Lines>
  <Paragraphs>12</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Augusto Giove</dc:creator>
  <cp:keywords/>
  <dc:description/>
  <cp:lastModifiedBy>Dario Augusto Giove</cp:lastModifiedBy>
  <cp:revision>4</cp:revision>
  <dcterms:created xsi:type="dcterms:W3CDTF">2023-02-23T18:33:00Z</dcterms:created>
  <dcterms:modified xsi:type="dcterms:W3CDTF">2023-02-24T10:13:00Z</dcterms:modified>
</cp:coreProperties>
</file>