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3FD1" w14:textId="77777777" w:rsidR="00AC2BFA" w:rsidRDefault="00AC2BF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026" w:type="dxa"/>
        <w:tblBorders>
          <w:top w:val="nil"/>
          <w:left w:val="nil"/>
          <w:bottom w:val="nil"/>
          <w:right w:val="nil"/>
          <w:insideH w:val="nil"/>
          <w:insideV w:val="nil"/>
        </w:tblBorders>
        <w:tblLayout w:type="fixed"/>
        <w:tblLook w:val="0400" w:firstRow="0" w:lastRow="0" w:firstColumn="0" w:lastColumn="0" w:noHBand="0" w:noVBand="1"/>
      </w:tblPr>
      <w:tblGrid>
        <w:gridCol w:w="3686"/>
        <w:gridCol w:w="5340"/>
      </w:tblGrid>
      <w:tr w:rsidR="00AC2BFA" w14:paraId="2D3F32FD" w14:textId="77777777">
        <w:tc>
          <w:tcPr>
            <w:tcW w:w="3686" w:type="dxa"/>
          </w:tcPr>
          <w:p w14:paraId="2F40198E" w14:textId="633D3020" w:rsidR="00AC2BFA" w:rsidRDefault="002558DF">
            <w:r>
              <w:rPr>
                <w:noProof/>
              </w:rPr>
              <w:drawing>
                <wp:inline distT="0" distB="0" distL="0" distR="0" wp14:anchorId="3D6C1F6E" wp14:editId="77FE96B3">
                  <wp:extent cx="2308122" cy="1256972"/>
                  <wp:effectExtent l="0" t="0" r="3810"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6245" cy="1277733"/>
                          </a:xfrm>
                          <a:prstGeom prst="rect">
                            <a:avLst/>
                          </a:prstGeom>
                        </pic:spPr>
                      </pic:pic>
                    </a:graphicData>
                  </a:graphic>
                </wp:inline>
              </w:drawing>
            </w:r>
          </w:p>
        </w:tc>
        <w:tc>
          <w:tcPr>
            <w:tcW w:w="5340" w:type="dxa"/>
          </w:tcPr>
          <w:p w14:paraId="49213440" w14:textId="77777777" w:rsidR="00AC2BFA" w:rsidRDefault="005C1D8F">
            <w:pPr>
              <w:pStyle w:val="Title"/>
              <w:spacing w:after="0"/>
              <w:ind w:firstLine="72"/>
            </w:pPr>
            <w:r>
              <w:t xml:space="preserve"> </w:t>
            </w:r>
          </w:p>
          <w:p w14:paraId="19DE6906" w14:textId="428396C5" w:rsidR="00AC2BFA" w:rsidRDefault="00C871B1">
            <w:pPr>
              <w:pStyle w:val="Title"/>
              <w:spacing w:before="0"/>
              <w:ind w:firstLine="72"/>
            </w:pPr>
            <w:r>
              <w:t>S</w:t>
            </w:r>
            <w:r w:rsidR="002558DF">
              <w:t>intesi</w:t>
            </w:r>
            <w:r>
              <w:t xml:space="preserve"> </w:t>
            </w:r>
            <w:r w:rsidR="002558DF">
              <w:t>r</w:t>
            </w:r>
            <w:r w:rsidR="005C1D8F">
              <w:t xml:space="preserve">iunione </w:t>
            </w:r>
            <w:r w:rsidR="00FD5C97">
              <w:t>6</w:t>
            </w:r>
            <w:r w:rsidR="005C1D8F">
              <w:t xml:space="preserve"> </w:t>
            </w:r>
          </w:p>
          <w:p w14:paraId="046FC2A1" w14:textId="28AFF129" w:rsidR="00AC2BFA" w:rsidRDefault="00FD5C97">
            <w:pPr>
              <w:pStyle w:val="Heading2"/>
              <w:ind w:firstLine="72"/>
            </w:pPr>
            <w:r>
              <w:rPr>
                <w:rFonts w:ascii="Calibri" w:eastAsia="Calibri" w:hAnsi="Calibri" w:cs="Calibri"/>
                <w:szCs w:val="28"/>
              </w:rPr>
              <w:t>8</w:t>
            </w:r>
            <w:r w:rsidR="005C1D8F">
              <w:rPr>
                <w:rFonts w:ascii="Calibri" w:eastAsia="Calibri" w:hAnsi="Calibri" w:cs="Calibri"/>
                <w:szCs w:val="28"/>
              </w:rPr>
              <w:t xml:space="preserve"> </w:t>
            </w:r>
            <w:r>
              <w:rPr>
                <w:rFonts w:ascii="Calibri" w:eastAsia="Calibri" w:hAnsi="Calibri" w:cs="Calibri"/>
                <w:szCs w:val="28"/>
              </w:rPr>
              <w:t>Gi</w:t>
            </w:r>
            <w:r w:rsidR="00196C50">
              <w:rPr>
                <w:rFonts w:ascii="Calibri" w:eastAsia="Calibri" w:hAnsi="Calibri" w:cs="Calibri"/>
                <w:szCs w:val="28"/>
              </w:rPr>
              <w:t>u</w:t>
            </w:r>
            <w:r>
              <w:rPr>
                <w:rFonts w:ascii="Calibri" w:eastAsia="Calibri" w:hAnsi="Calibri" w:cs="Calibri"/>
                <w:szCs w:val="28"/>
              </w:rPr>
              <w:t>gno</w:t>
            </w:r>
            <w:r w:rsidR="00ED4714">
              <w:rPr>
                <w:rFonts w:ascii="Calibri" w:eastAsia="Calibri" w:hAnsi="Calibri" w:cs="Calibri"/>
                <w:szCs w:val="28"/>
              </w:rPr>
              <w:t xml:space="preserve"> 2022</w:t>
            </w:r>
            <w:r w:rsidR="005C1D8F">
              <w:rPr>
                <w:rFonts w:ascii="Calibri" w:eastAsia="Calibri" w:hAnsi="Calibri" w:cs="Calibri"/>
                <w:szCs w:val="28"/>
              </w:rPr>
              <w:t xml:space="preserve"> | 11:00</w:t>
            </w:r>
            <w:r w:rsidR="005C1D8F">
              <w:t xml:space="preserve"> |</w:t>
            </w:r>
            <w:r w:rsidR="005C1D8F">
              <w:rPr>
                <w:rFonts w:ascii="Calibri" w:eastAsia="Calibri" w:hAnsi="Calibri" w:cs="Calibri"/>
                <w:szCs w:val="28"/>
              </w:rPr>
              <w:t xml:space="preserve"> online</w:t>
            </w:r>
          </w:p>
          <w:p w14:paraId="4E8A5DD9" w14:textId="77777777" w:rsidR="00AC2BFA" w:rsidRDefault="00AC2BFA"/>
        </w:tc>
      </w:tr>
    </w:tbl>
    <w:p w14:paraId="6C93CFA0" w14:textId="77777777" w:rsidR="00AC2BFA" w:rsidRDefault="005C1D8F">
      <w:pPr>
        <w:pStyle w:val="Heading1"/>
        <w:rPr>
          <w:rFonts w:eastAsia="Century Gothic" w:cs="Century Gothic"/>
          <w:sz w:val="28"/>
          <w:szCs w:val="28"/>
        </w:rPr>
      </w:pPr>
      <w:r>
        <w:rPr>
          <w:rFonts w:eastAsia="Century Gothic" w:cs="Century Gothic"/>
          <w:sz w:val="28"/>
          <w:szCs w:val="28"/>
        </w:rPr>
        <w:t xml:space="preserve">PARTECIPANTI </w:t>
      </w:r>
    </w:p>
    <w:tbl>
      <w:tblPr>
        <w:tblStyle w:val="a0"/>
        <w:tblW w:w="9015" w:type="dxa"/>
        <w:tblBorders>
          <w:top w:val="nil"/>
          <w:left w:val="nil"/>
          <w:bottom w:val="nil"/>
          <w:right w:val="nil"/>
          <w:insideH w:val="nil"/>
          <w:insideV w:val="nil"/>
        </w:tblBorders>
        <w:tblLayout w:type="fixed"/>
        <w:tblLook w:val="0400" w:firstRow="0" w:lastRow="0" w:firstColumn="0" w:lastColumn="0" w:noHBand="0" w:noVBand="1"/>
      </w:tblPr>
      <w:tblGrid>
        <w:gridCol w:w="4020"/>
        <w:gridCol w:w="4995"/>
      </w:tblGrid>
      <w:tr w:rsidR="00327D5D" w14:paraId="4E38EEEA" w14:textId="77777777">
        <w:tc>
          <w:tcPr>
            <w:tcW w:w="4020" w:type="dxa"/>
            <w:vAlign w:val="center"/>
          </w:tcPr>
          <w:p w14:paraId="7D912468" w14:textId="77777777" w:rsidR="00327D5D" w:rsidRDefault="00327D5D" w:rsidP="00327D5D">
            <w:pPr>
              <w:pStyle w:val="Heading1"/>
              <w:ind w:left="-100"/>
              <w:rPr>
                <w:sz w:val="24"/>
                <w:szCs w:val="24"/>
              </w:rPr>
            </w:pPr>
            <w:r>
              <w:rPr>
                <w:sz w:val="24"/>
                <w:szCs w:val="24"/>
              </w:rPr>
              <w:t xml:space="preserve">Membri del </w:t>
            </w:r>
            <w:proofErr w:type="spellStart"/>
            <w:r>
              <w:rPr>
                <w:sz w:val="24"/>
                <w:szCs w:val="24"/>
              </w:rPr>
              <w:t>GdL</w:t>
            </w:r>
            <w:proofErr w:type="spellEnd"/>
          </w:p>
        </w:tc>
        <w:tc>
          <w:tcPr>
            <w:tcW w:w="4995" w:type="dxa"/>
          </w:tcPr>
          <w:p w14:paraId="0093CDE8" w14:textId="1652D3FD" w:rsidR="00327D5D" w:rsidRDefault="00327D5D" w:rsidP="00327D5D">
            <w:pPr>
              <w:spacing w:after="160"/>
            </w:pPr>
            <w:r w:rsidRPr="00327D5D">
              <w:rPr>
                <w:highlight w:val="white"/>
              </w:rPr>
              <w:t xml:space="preserve">Stefano Bianco (INFN), Anna Grazia Chiodetti (INGV), Mario Locati (INGV) Giovanni De Simone (CNR), Antonella Gasperini (INAF), Roberta </w:t>
            </w:r>
            <w:proofErr w:type="spellStart"/>
            <w:r w:rsidRPr="00327D5D">
              <w:rPr>
                <w:highlight w:val="white"/>
              </w:rPr>
              <w:t>Vigni</w:t>
            </w:r>
            <w:proofErr w:type="spellEnd"/>
            <w:r w:rsidRPr="00327D5D">
              <w:rPr>
                <w:highlight w:val="white"/>
              </w:rPr>
              <w:t xml:space="preserve"> (ISPRA), Angela Saraò (OGS), Silvia Giannini e Roberta Maggi (CNR), Manuela Secinaro (INRIM), </w:t>
            </w:r>
          </w:p>
          <w:p w14:paraId="442EB094" w14:textId="013F9DC2" w:rsidR="00806999" w:rsidRDefault="00806999" w:rsidP="00327D5D">
            <w:pPr>
              <w:spacing w:after="160"/>
            </w:pPr>
          </w:p>
        </w:tc>
      </w:tr>
      <w:tr w:rsidR="00327D5D" w14:paraId="30771A4F" w14:textId="77777777">
        <w:trPr>
          <w:trHeight w:val="257"/>
        </w:trPr>
        <w:tc>
          <w:tcPr>
            <w:tcW w:w="4020" w:type="dxa"/>
            <w:vAlign w:val="center"/>
          </w:tcPr>
          <w:p w14:paraId="793255FB" w14:textId="77777777" w:rsidR="00327D5D" w:rsidRDefault="00327D5D" w:rsidP="00327D5D">
            <w:pPr>
              <w:pStyle w:val="Heading1"/>
              <w:spacing w:before="0"/>
              <w:ind w:left="-100"/>
              <w:rPr>
                <w:sz w:val="24"/>
                <w:szCs w:val="24"/>
              </w:rPr>
            </w:pPr>
            <w:r>
              <w:rPr>
                <w:sz w:val="24"/>
                <w:szCs w:val="24"/>
              </w:rPr>
              <w:t>Ospiti</w:t>
            </w:r>
          </w:p>
        </w:tc>
        <w:tc>
          <w:tcPr>
            <w:tcW w:w="4995" w:type="dxa"/>
          </w:tcPr>
          <w:p w14:paraId="38E7D22F" w14:textId="029B45F7" w:rsidR="00327D5D" w:rsidRDefault="00B92B5D" w:rsidP="00327D5D">
            <w:pPr>
              <w:spacing w:after="160"/>
              <w:rPr>
                <w:sz w:val="20"/>
                <w:szCs w:val="20"/>
              </w:rPr>
            </w:pPr>
            <w:r w:rsidRPr="00327D5D">
              <w:rPr>
                <w:highlight w:val="white"/>
              </w:rPr>
              <w:t>Francesca Di Donato (CNR)</w:t>
            </w:r>
          </w:p>
        </w:tc>
      </w:tr>
      <w:tr w:rsidR="00C871B1" w14:paraId="69B244DA" w14:textId="77777777" w:rsidTr="00FE1FC5">
        <w:trPr>
          <w:trHeight w:val="257"/>
        </w:trPr>
        <w:tc>
          <w:tcPr>
            <w:tcW w:w="4020" w:type="dxa"/>
            <w:vAlign w:val="center"/>
          </w:tcPr>
          <w:p w14:paraId="6AC405BF" w14:textId="77777777" w:rsidR="00C871B1" w:rsidRDefault="00C871B1" w:rsidP="00FE1FC5">
            <w:pPr>
              <w:pStyle w:val="Heading1"/>
              <w:spacing w:before="0"/>
              <w:ind w:left="-100"/>
              <w:rPr>
                <w:sz w:val="24"/>
                <w:szCs w:val="24"/>
              </w:rPr>
            </w:pPr>
            <w:r>
              <w:rPr>
                <w:sz w:val="24"/>
                <w:szCs w:val="24"/>
              </w:rPr>
              <w:t>Coordinatore</w:t>
            </w:r>
          </w:p>
        </w:tc>
        <w:tc>
          <w:tcPr>
            <w:tcW w:w="4995" w:type="dxa"/>
          </w:tcPr>
          <w:p w14:paraId="7D1D577D" w14:textId="77777777" w:rsidR="00C871B1" w:rsidRPr="005C1D8F" w:rsidRDefault="00C871B1" w:rsidP="00FE1FC5">
            <w:pPr>
              <w:spacing w:after="160"/>
            </w:pPr>
            <w:r w:rsidRPr="005C1D8F">
              <w:t>Stefano Bianco </w:t>
            </w:r>
          </w:p>
        </w:tc>
      </w:tr>
      <w:tr w:rsidR="00C871B1" w14:paraId="48A1288B" w14:textId="77777777" w:rsidTr="00FE1FC5">
        <w:trPr>
          <w:trHeight w:val="257"/>
        </w:trPr>
        <w:tc>
          <w:tcPr>
            <w:tcW w:w="4020" w:type="dxa"/>
            <w:vAlign w:val="center"/>
          </w:tcPr>
          <w:p w14:paraId="77085581" w14:textId="1743A137" w:rsidR="00C871B1" w:rsidRDefault="002558DF" w:rsidP="00FE1FC5">
            <w:pPr>
              <w:pStyle w:val="Heading1"/>
              <w:spacing w:before="0"/>
              <w:ind w:left="-100"/>
              <w:rPr>
                <w:sz w:val="24"/>
                <w:szCs w:val="24"/>
              </w:rPr>
            </w:pPr>
            <w:r>
              <w:rPr>
                <w:sz w:val="24"/>
                <w:szCs w:val="24"/>
              </w:rPr>
              <w:t>Sintesi a cura di</w:t>
            </w:r>
          </w:p>
        </w:tc>
        <w:tc>
          <w:tcPr>
            <w:tcW w:w="4995" w:type="dxa"/>
          </w:tcPr>
          <w:p w14:paraId="15C52ECD" w14:textId="77777777" w:rsidR="00C871B1" w:rsidRPr="005C1D8F" w:rsidRDefault="00C871B1" w:rsidP="00FE1FC5">
            <w:pPr>
              <w:spacing w:after="160"/>
            </w:pPr>
            <w:r>
              <w:t>Anna Grazia Chiodetti; Roberta Vigni.</w:t>
            </w:r>
          </w:p>
        </w:tc>
      </w:tr>
    </w:tbl>
    <w:p w14:paraId="64391C3E" w14:textId="77777777" w:rsidR="00AC2BFA" w:rsidRDefault="00AC2BFA">
      <w:pPr>
        <w:pStyle w:val="Heading2"/>
        <w:spacing w:before="80" w:after="80"/>
        <w:ind w:left="0"/>
      </w:pPr>
    </w:p>
    <w:p w14:paraId="7DFD64AA" w14:textId="77777777" w:rsidR="00AC2BFA" w:rsidRDefault="005C1D8F">
      <w:pPr>
        <w:pStyle w:val="Heading1"/>
        <w:spacing w:before="0" w:after="80"/>
        <w:rPr>
          <w:smallCaps/>
          <w:sz w:val="28"/>
          <w:szCs w:val="28"/>
        </w:rPr>
      </w:pPr>
      <w:r>
        <w:rPr>
          <w:rFonts w:eastAsia="Century Gothic" w:cs="Century Gothic"/>
          <w:sz w:val="28"/>
          <w:szCs w:val="28"/>
        </w:rPr>
        <w:t>Argomenti dell’agenda</w:t>
      </w:r>
    </w:p>
    <w:p w14:paraId="495B3C50" w14:textId="4016FE2F" w:rsidR="00AC2BFA" w:rsidRDefault="005C1D8F">
      <w:pPr>
        <w:numPr>
          <w:ilvl w:val="0"/>
          <w:numId w:val="1"/>
        </w:numPr>
        <w:pBdr>
          <w:top w:val="nil"/>
          <w:left w:val="nil"/>
          <w:bottom w:val="nil"/>
          <w:right w:val="nil"/>
          <w:between w:val="nil"/>
        </w:pBdr>
        <w:ind w:left="993" w:hanging="273"/>
        <w:rPr>
          <w:color w:val="000000"/>
        </w:rPr>
      </w:pPr>
      <w:r>
        <w:rPr>
          <w:color w:val="000000"/>
        </w:rPr>
        <w:t>Introduzione</w:t>
      </w:r>
      <w:r w:rsidR="00D6210B">
        <w:rPr>
          <w:color w:val="000000"/>
        </w:rPr>
        <w:t xml:space="preserve">, approvazione riunione precedente, relazione presentazione a </w:t>
      </w:r>
      <w:proofErr w:type="spellStart"/>
      <w:r w:rsidR="00D6210B">
        <w:rPr>
          <w:color w:val="000000"/>
        </w:rPr>
        <w:t>ConPER</w:t>
      </w:r>
      <w:proofErr w:type="spellEnd"/>
      <w:r w:rsidR="00D6210B">
        <w:rPr>
          <w:color w:val="000000"/>
        </w:rPr>
        <w:t xml:space="preserve"> </w:t>
      </w:r>
    </w:p>
    <w:p w14:paraId="4C259C62" w14:textId="7580B783" w:rsidR="00AC2BFA" w:rsidRDefault="00A032A7">
      <w:pPr>
        <w:numPr>
          <w:ilvl w:val="0"/>
          <w:numId w:val="1"/>
        </w:numPr>
        <w:pBdr>
          <w:top w:val="nil"/>
          <w:left w:val="nil"/>
          <w:bottom w:val="nil"/>
          <w:right w:val="nil"/>
          <w:between w:val="nil"/>
        </w:pBdr>
        <w:spacing w:after="40"/>
        <w:ind w:left="993" w:hanging="273"/>
        <w:rPr>
          <w:color w:val="000000"/>
        </w:rPr>
      </w:pPr>
      <w:r>
        <w:rPr>
          <w:color w:val="000000"/>
        </w:rPr>
        <w:t xml:space="preserve">Open Science e riforma della valutazione della ricerca </w:t>
      </w:r>
    </w:p>
    <w:p w14:paraId="0DF32864" w14:textId="41A582FA" w:rsidR="006E6EBD" w:rsidRPr="00B92B5D" w:rsidRDefault="006E6EBD">
      <w:pPr>
        <w:numPr>
          <w:ilvl w:val="0"/>
          <w:numId w:val="1"/>
        </w:numPr>
        <w:pBdr>
          <w:top w:val="nil"/>
          <w:left w:val="nil"/>
          <w:bottom w:val="nil"/>
          <w:right w:val="nil"/>
          <w:between w:val="nil"/>
        </w:pBdr>
        <w:spacing w:after="40"/>
        <w:ind w:left="993" w:hanging="273"/>
        <w:rPr>
          <w:color w:val="000000"/>
          <w:lang w:val="en-US"/>
        </w:rPr>
      </w:pPr>
      <w:r w:rsidRPr="00B92B5D">
        <w:rPr>
          <w:color w:val="000000"/>
          <w:lang w:val="en-US"/>
        </w:rPr>
        <w:t xml:space="preserve">Task force APC e Task </w:t>
      </w:r>
      <w:proofErr w:type="spellStart"/>
      <w:r w:rsidRPr="00B92B5D">
        <w:rPr>
          <w:color w:val="000000"/>
          <w:lang w:val="en-US"/>
        </w:rPr>
        <w:t>questionario</w:t>
      </w:r>
      <w:proofErr w:type="spellEnd"/>
      <w:r w:rsidRPr="00B92B5D">
        <w:rPr>
          <w:color w:val="000000"/>
          <w:lang w:val="en-US"/>
        </w:rPr>
        <w:t xml:space="preserve"> Open Science </w:t>
      </w:r>
    </w:p>
    <w:p w14:paraId="2C9A12BC" w14:textId="15FC5FC8" w:rsidR="00992A29" w:rsidRDefault="00D85BD4">
      <w:pPr>
        <w:numPr>
          <w:ilvl w:val="0"/>
          <w:numId w:val="1"/>
        </w:numPr>
        <w:pBdr>
          <w:top w:val="nil"/>
          <w:left w:val="nil"/>
          <w:bottom w:val="nil"/>
          <w:right w:val="nil"/>
          <w:between w:val="nil"/>
        </w:pBdr>
        <w:spacing w:after="40"/>
        <w:ind w:left="993" w:hanging="273"/>
        <w:rPr>
          <w:color w:val="000000"/>
        </w:rPr>
      </w:pPr>
      <w:r>
        <w:rPr>
          <w:color w:val="000000"/>
        </w:rPr>
        <w:t>Discussione e c</w:t>
      </w:r>
      <w:r w:rsidR="00992A29">
        <w:rPr>
          <w:color w:val="000000"/>
        </w:rPr>
        <w:t>onclusioni</w:t>
      </w:r>
    </w:p>
    <w:p w14:paraId="359D25BD" w14:textId="5092E69B" w:rsidR="00327D5D" w:rsidRPr="00327D5D" w:rsidRDefault="00381939" w:rsidP="00327D5D">
      <w:pPr>
        <w:pStyle w:val="Heading2"/>
        <w:spacing w:before="160"/>
        <w:ind w:left="74"/>
        <w:rPr>
          <w:rFonts w:ascii="Calibri" w:eastAsia="Calibri" w:hAnsi="Calibri" w:cs="Calibri"/>
          <w:sz w:val="24"/>
          <w:szCs w:val="24"/>
        </w:rPr>
      </w:pPr>
      <w:r>
        <w:rPr>
          <w:rFonts w:ascii="Calibri" w:eastAsia="Calibri" w:hAnsi="Calibri" w:cs="Calibri"/>
          <w:sz w:val="24"/>
          <w:szCs w:val="24"/>
        </w:rPr>
        <w:t>1</w:t>
      </w:r>
      <w:r w:rsidR="005C1D8F">
        <w:rPr>
          <w:rFonts w:ascii="Calibri" w:eastAsia="Calibri" w:hAnsi="Calibri" w:cs="Calibri"/>
          <w:sz w:val="24"/>
          <w:szCs w:val="24"/>
        </w:rPr>
        <w:t>- Introduzion</w:t>
      </w:r>
      <w:r w:rsidR="00D33E56">
        <w:rPr>
          <w:rFonts w:ascii="Calibri" w:eastAsia="Calibri" w:hAnsi="Calibri" w:cs="Calibri"/>
          <w:sz w:val="24"/>
          <w:szCs w:val="24"/>
        </w:rPr>
        <w:t xml:space="preserve">e, approvazione riunione precedente e relazione presentazione a </w:t>
      </w:r>
      <w:proofErr w:type="spellStart"/>
      <w:r w:rsidR="00D33E56">
        <w:rPr>
          <w:rFonts w:ascii="Calibri" w:eastAsia="Calibri" w:hAnsi="Calibri" w:cs="Calibri"/>
          <w:sz w:val="24"/>
          <w:szCs w:val="24"/>
        </w:rPr>
        <w:t>ConPER</w:t>
      </w:r>
      <w:proofErr w:type="spellEnd"/>
      <w:r w:rsidR="005C1D8F">
        <w:rPr>
          <w:rFonts w:ascii="Calibri" w:eastAsia="Calibri" w:hAnsi="Calibri" w:cs="Calibri"/>
          <w:sz w:val="24"/>
          <w:szCs w:val="24"/>
        </w:rPr>
        <w:t xml:space="preserve"> </w:t>
      </w:r>
    </w:p>
    <w:p w14:paraId="2ADEA08C" w14:textId="624C09A2" w:rsidR="00A032A7" w:rsidRPr="00196C50" w:rsidRDefault="00327D5D" w:rsidP="00B92B5D">
      <w:pPr>
        <w:jc w:val="both"/>
        <w:rPr>
          <w:highlight w:val="white"/>
        </w:rPr>
      </w:pPr>
      <w:r w:rsidRPr="00196C50">
        <w:rPr>
          <w:highlight w:val="white"/>
        </w:rPr>
        <w:t xml:space="preserve">Bianco presenta ai colleghi i risultati e le impressioni sulla riunione della Consulta dei Presidenti degli EPR del 6 giugno in cui il </w:t>
      </w:r>
      <w:proofErr w:type="spellStart"/>
      <w:r w:rsidRPr="00196C50">
        <w:rPr>
          <w:highlight w:val="white"/>
        </w:rPr>
        <w:t>GdL</w:t>
      </w:r>
      <w:proofErr w:type="spellEnd"/>
      <w:r w:rsidRPr="00196C50">
        <w:rPr>
          <w:highlight w:val="white"/>
        </w:rPr>
        <w:t xml:space="preserve"> Open Science è stato invitato a presentare una relazione del lavoro svolto nei primi 6 mesi</w:t>
      </w:r>
      <w:r w:rsidR="00A032A7" w:rsidRPr="00196C50">
        <w:rPr>
          <w:highlight w:val="white"/>
        </w:rPr>
        <w:t>.</w:t>
      </w:r>
    </w:p>
    <w:p w14:paraId="50469C6A" w14:textId="78C747B0" w:rsidR="00B92B5D" w:rsidRPr="00196C50" w:rsidRDefault="00B92B5D" w:rsidP="00B92B5D">
      <w:pPr>
        <w:pBdr>
          <w:top w:val="nil"/>
          <w:left w:val="nil"/>
          <w:bottom w:val="nil"/>
          <w:right w:val="nil"/>
          <w:between w:val="nil"/>
        </w:pBdr>
        <w:jc w:val="both"/>
        <w:rPr>
          <w:color w:val="000000"/>
          <w:highlight w:val="white"/>
        </w:rPr>
      </w:pPr>
      <w:r w:rsidRPr="00196C50">
        <w:rPr>
          <w:color w:val="000000"/>
          <w:highlight w:val="white"/>
        </w:rPr>
        <w:t>Bianco</w:t>
      </w:r>
      <w:r w:rsidR="00196C50" w:rsidRPr="00196C50">
        <w:rPr>
          <w:color w:val="000000"/>
          <w:highlight w:val="white"/>
        </w:rPr>
        <w:t xml:space="preserve">, in merito all’intervento svolto in rappresentanza del Gruppo OA nella riunione </w:t>
      </w:r>
      <w:proofErr w:type="spellStart"/>
      <w:r w:rsidR="00196C50" w:rsidRPr="00196C50">
        <w:rPr>
          <w:color w:val="000000"/>
          <w:highlight w:val="white"/>
        </w:rPr>
        <w:t>ConPER</w:t>
      </w:r>
      <w:proofErr w:type="spellEnd"/>
      <w:r w:rsidR="00196C50" w:rsidRPr="00196C50">
        <w:rPr>
          <w:color w:val="000000"/>
          <w:highlight w:val="white"/>
        </w:rPr>
        <w:t xml:space="preserve">, riferisce come non vi siano state obiezioni dei Presidenti sul programma di lavoro del Gruppo e del </w:t>
      </w:r>
      <w:r w:rsidRPr="00196C50">
        <w:rPr>
          <w:color w:val="000000"/>
          <w:highlight w:val="white"/>
        </w:rPr>
        <w:t xml:space="preserve">supporto avuto dal segretario della </w:t>
      </w:r>
      <w:proofErr w:type="spellStart"/>
      <w:r w:rsidRPr="00196C50">
        <w:rPr>
          <w:color w:val="000000"/>
          <w:highlight w:val="white"/>
        </w:rPr>
        <w:t>Codiger</w:t>
      </w:r>
      <w:proofErr w:type="spellEnd"/>
      <w:r w:rsidRPr="00196C50">
        <w:rPr>
          <w:color w:val="000000"/>
          <w:highlight w:val="white"/>
        </w:rPr>
        <w:t xml:space="preserve"> Moreno </w:t>
      </w:r>
      <w:proofErr w:type="spellStart"/>
      <w:r w:rsidRPr="00196C50">
        <w:rPr>
          <w:color w:val="000000"/>
          <w:highlight w:val="white"/>
        </w:rPr>
        <w:t>Tivan</w:t>
      </w:r>
      <w:proofErr w:type="spellEnd"/>
      <w:r w:rsidRPr="00196C50">
        <w:rPr>
          <w:color w:val="000000"/>
          <w:highlight w:val="white"/>
        </w:rPr>
        <w:t xml:space="preserve"> sul monitoraggio spese APC con la possibile creazione di una voce di bilancio nuova per tutti gli EPR. </w:t>
      </w:r>
    </w:p>
    <w:p w14:paraId="06409F72" w14:textId="77777777" w:rsidR="00B92B5D" w:rsidRPr="00196C50" w:rsidRDefault="00B92B5D" w:rsidP="00B92B5D">
      <w:pPr>
        <w:pBdr>
          <w:top w:val="nil"/>
          <w:left w:val="nil"/>
          <w:bottom w:val="nil"/>
          <w:right w:val="nil"/>
          <w:between w:val="nil"/>
        </w:pBdr>
        <w:jc w:val="both"/>
        <w:rPr>
          <w:color w:val="000000"/>
          <w:highlight w:val="white"/>
        </w:rPr>
      </w:pPr>
    </w:p>
    <w:p w14:paraId="3FEB6B92" w14:textId="22C12791" w:rsidR="00B92B5D" w:rsidRPr="00196C50" w:rsidRDefault="00B92B5D" w:rsidP="00B92B5D">
      <w:pPr>
        <w:pBdr>
          <w:top w:val="nil"/>
          <w:left w:val="nil"/>
          <w:bottom w:val="nil"/>
          <w:right w:val="nil"/>
          <w:between w:val="nil"/>
        </w:pBdr>
        <w:jc w:val="both"/>
        <w:rPr>
          <w:color w:val="000000"/>
          <w:highlight w:val="white"/>
        </w:rPr>
      </w:pPr>
      <w:r w:rsidRPr="00196C50">
        <w:rPr>
          <w:color w:val="000000"/>
          <w:highlight w:val="white"/>
        </w:rPr>
        <w:t xml:space="preserve">Il </w:t>
      </w:r>
      <w:proofErr w:type="spellStart"/>
      <w:r w:rsidRPr="00196C50">
        <w:rPr>
          <w:color w:val="000000"/>
          <w:highlight w:val="white"/>
        </w:rPr>
        <w:t>GdL</w:t>
      </w:r>
      <w:proofErr w:type="spellEnd"/>
      <w:r w:rsidRPr="00196C50">
        <w:rPr>
          <w:color w:val="000000"/>
          <w:highlight w:val="white"/>
        </w:rPr>
        <w:t xml:space="preserve"> decide di prevedere anche una traduzione in inglese della pagina Web del Gruppo che sarà a cura di INFN.</w:t>
      </w:r>
    </w:p>
    <w:p w14:paraId="083E57D1" w14:textId="77777777" w:rsidR="00327D5D" w:rsidRDefault="00327D5D" w:rsidP="005C1D8F">
      <w:pPr>
        <w:rPr>
          <w:highlight w:val="white"/>
        </w:rPr>
      </w:pPr>
    </w:p>
    <w:p w14:paraId="29C45F40" w14:textId="33241DB5" w:rsidR="00AC2BFA" w:rsidRDefault="00381939" w:rsidP="003036C9">
      <w:pPr>
        <w:pStyle w:val="Heading2"/>
        <w:pBdr>
          <w:top w:val="single" w:sz="4" w:space="2" w:color="A5A5A5" w:themeColor="accent3"/>
        </w:pBdr>
        <w:spacing w:before="160"/>
        <w:ind w:left="74"/>
        <w:rPr>
          <w:rFonts w:ascii="Calibri" w:eastAsia="Calibri" w:hAnsi="Calibri" w:cs="Calibri"/>
          <w:sz w:val="24"/>
          <w:szCs w:val="24"/>
        </w:rPr>
      </w:pPr>
      <w:r>
        <w:rPr>
          <w:rFonts w:ascii="Calibri" w:eastAsia="Calibri" w:hAnsi="Calibri" w:cs="Calibri"/>
          <w:sz w:val="24"/>
          <w:szCs w:val="24"/>
        </w:rPr>
        <w:lastRenderedPageBreak/>
        <w:t>2</w:t>
      </w:r>
      <w:r w:rsidR="005C1D8F">
        <w:rPr>
          <w:rFonts w:ascii="Calibri" w:eastAsia="Calibri" w:hAnsi="Calibri" w:cs="Calibri"/>
          <w:sz w:val="24"/>
          <w:szCs w:val="24"/>
        </w:rPr>
        <w:t xml:space="preserve">- </w:t>
      </w:r>
      <w:r w:rsidR="00A032A7">
        <w:rPr>
          <w:rFonts w:ascii="Calibri" w:eastAsia="Calibri" w:hAnsi="Calibri" w:cs="Calibri"/>
          <w:sz w:val="24"/>
          <w:szCs w:val="24"/>
        </w:rPr>
        <w:t xml:space="preserve">Open Science e riforma della valutazione della ricerca </w:t>
      </w:r>
    </w:p>
    <w:p w14:paraId="036AC251" w14:textId="7F3E3842" w:rsidR="00B520EE" w:rsidRPr="00B520EE" w:rsidRDefault="00B44E3E" w:rsidP="00B03D30">
      <w:pPr>
        <w:pStyle w:val="Heading1"/>
        <w:shd w:val="clear" w:color="auto" w:fill="FFFFFF"/>
        <w:spacing w:before="0"/>
        <w:jc w:val="both"/>
        <w:rPr>
          <w:rFonts w:ascii="Calibri" w:eastAsia="Calibri" w:hAnsi="Calibri" w:cs="Calibri"/>
          <w:bCs/>
          <w:color w:val="000000"/>
          <w:sz w:val="24"/>
          <w:szCs w:val="24"/>
          <w:highlight w:val="yellow"/>
        </w:rPr>
      </w:pPr>
      <w:r w:rsidRPr="00B520EE">
        <w:rPr>
          <w:rFonts w:ascii="Calibri" w:eastAsia="Calibri" w:hAnsi="Calibri" w:cs="Calibri"/>
          <w:bCs/>
          <w:color w:val="000000"/>
          <w:sz w:val="24"/>
          <w:szCs w:val="24"/>
          <w:highlight w:val="white"/>
        </w:rPr>
        <w:t>De Simone</w:t>
      </w:r>
      <w:r w:rsidR="00B520EE" w:rsidRPr="00B520EE">
        <w:rPr>
          <w:rFonts w:ascii="Calibri" w:eastAsia="Calibri" w:hAnsi="Calibri" w:cs="Calibri"/>
          <w:bCs/>
          <w:color w:val="000000"/>
          <w:sz w:val="24"/>
          <w:szCs w:val="24"/>
          <w:highlight w:val="white"/>
        </w:rPr>
        <w:t xml:space="preserve"> presenta Francesca Di Donato del CNR</w:t>
      </w:r>
      <w:r w:rsidR="00B520EE" w:rsidRPr="00196C50">
        <w:rPr>
          <w:rFonts w:ascii="Calibri" w:eastAsia="Calibri" w:hAnsi="Calibri" w:cs="Calibri"/>
          <w:bCs/>
          <w:color w:val="000000"/>
          <w:sz w:val="24"/>
          <w:szCs w:val="24"/>
        </w:rPr>
        <w:t xml:space="preserve"> componente del core group che ha lavorato al </w:t>
      </w:r>
      <w:proofErr w:type="spellStart"/>
      <w:r w:rsidR="00B520EE" w:rsidRPr="00196C50">
        <w:rPr>
          <w:rFonts w:ascii="Calibri" w:eastAsia="Calibri" w:hAnsi="Calibri" w:cs="Calibri"/>
          <w:bCs/>
          <w:color w:val="000000"/>
          <w:sz w:val="24"/>
          <w:szCs w:val="24"/>
        </w:rPr>
        <w:t>agreement</w:t>
      </w:r>
      <w:proofErr w:type="spellEnd"/>
      <w:r w:rsidR="00B520EE" w:rsidRPr="00196C50">
        <w:rPr>
          <w:rFonts w:ascii="Calibri" w:eastAsia="Calibri" w:hAnsi="Calibri" w:cs="Calibri"/>
          <w:bCs/>
          <w:color w:val="000000"/>
          <w:sz w:val="24"/>
          <w:szCs w:val="24"/>
        </w:rPr>
        <w:t xml:space="preserve"> on </w:t>
      </w:r>
      <w:proofErr w:type="spellStart"/>
      <w:r w:rsidR="00B520EE" w:rsidRPr="00196C50">
        <w:rPr>
          <w:rFonts w:ascii="Calibri" w:eastAsia="Calibri" w:hAnsi="Calibri" w:cs="Calibri"/>
          <w:bCs/>
          <w:color w:val="000000"/>
          <w:sz w:val="24"/>
          <w:szCs w:val="24"/>
        </w:rPr>
        <w:t>reforming</w:t>
      </w:r>
      <w:proofErr w:type="spellEnd"/>
      <w:r w:rsidR="00B520EE" w:rsidRPr="00196C50">
        <w:rPr>
          <w:rFonts w:ascii="Calibri" w:eastAsia="Calibri" w:hAnsi="Calibri" w:cs="Calibri"/>
          <w:bCs/>
          <w:color w:val="000000"/>
          <w:sz w:val="24"/>
          <w:szCs w:val="24"/>
        </w:rPr>
        <w:t xml:space="preserve"> </w:t>
      </w:r>
      <w:proofErr w:type="spellStart"/>
      <w:r w:rsidR="00B520EE" w:rsidRPr="00196C50">
        <w:rPr>
          <w:rFonts w:ascii="Calibri" w:eastAsia="Calibri" w:hAnsi="Calibri" w:cs="Calibri"/>
          <w:bCs/>
          <w:color w:val="000000"/>
          <w:sz w:val="24"/>
          <w:szCs w:val="24"/>
        </w:rPr>
        <w:t>research</w:t>
      </w:r>
      <w:proofErr w:type="spellEnd"/>
      <w:r w:rsidR="00B520EE" w:rsidRPr="00196C50">
        <w:rPr>
          <w:rFonts w:ascii="Calibri" w:eastAsia="Calibri" w:hAnsi="Calibri" w:cs="Calibri"/>
          <w:bCs/>
          <w:color w:val="000000"/>
          <w:sz w:val="24"/>
          <w:szCs w:val="24"/>
        </w:rPr>
        <w:t xml:space="preserve"> </w:t>
      </w:r>
      <w:proofErr w:type="spellStart"/>
      <w:r w:rsidR="00B520EE" w:rsidRPr="00196C50">
        <w:rPr>
          <w:rFonts w:ascii="Calibri" w:eastAsia="Calibri" w:hAnsi="Calibri" w:cs="Calibri"/>
          <w:bCs/>
          <w:color w:val="000000"/>
          <w:sz w:val="24"/>
          <w:szCs w:val="24"/>
        </w:rPr>
        <w:t>assessment</w:t>
      </w:r>
      <w:proofErr w:type="spellEnd"/>
      <w:r w:rsidR="00B520EE" w:rsidRPr="00196C50">
        <w:rPr>
          <w:rFonts w:ascii="Calibri" w:eastAsia="Calibri" w:hAnsi="Calibri" w:cs="Calibri"/>
          <w:bCs/>
          <w:color w:val="000000"/>
          <w:sz w:val="24"/>
          <w:szCs w:val="24"/>
        </w:rPr>
        <w:t>, rappresentando</w:t>
      </w:r>
      <w:r w:rsidR="00B03D30" w:rsidRPr="00196C50">
        <w:rPr>
          <w:rFonts w:ascii="Calibri" w:eastAsia="Calibri" w:hAnsi="Calibri" w:cs="Calibri"/>
          <w:bCs/>
          <w:color w:val="000000"/>
          <w:sz w:val="24"/>
          <w:szCs w:val="24"/>
        </w:rPr>
        <w:t>, di fatto,</w:t>
      </w:r>
      <w:r w:rsidR="00B520EE" w:rsidRPr="00196C50">
        <w:rPr>
          <w:rFonts w:ascii="Calibri" w:eastAsia="Calibri" w:hAnsi="Calibri" w:cs="Calibri"/>
          <w:bCs/>
          <w:color w:val="000000"/>
          <w:sz w:val="24"/>
          <w:szCs w:val="24"/>
        </w:rPr>
        <w:t xml:space="preserve"> in tale contesto non solo il CNR ma l’intero contesto nazionale della ricerca.</w:t>
      </w:r>
    </w:p>
    <w:p w14:paraId="05081E3E" w14:textId="6C6AAE44" w:rsidR="00B44E3E" w:rsidRDefault="00B44E3E" w:rsidP="00F65D94">
      <w:pPr>
        <w:pBdr>
          <w:top w:val="nil"/>
          <w:left w:val="nil"/>
          <w:bottom w:val="nil"/>
          <w:right w:val="nil"/>
          <w:between w:val="nil"/>
        </w:pBdr>
        <w:jc w:val="both"/>
        <w:rPr>
          <w:bCs/>
          <w:color w:val="000000"/>
          <w:highlight w:val="white"/>
        </w:rPr>
      </w:pPr>
      <w:r w:rsidRPr="00196C50">
        <w:rPr>
          <w:bCs/>
          <w:color w:val="000000"/>
          <w:highlight w:val="white"/>
        </w:rPr>
        <w:t>Di Donato</w:t>
      </w:r>
      <w:r w:rsidRPr="00B44E3E">
        <w:rPr>
          <w:bCs/>
          <w:color w:val="000000"/>
          <w:highlight w:val="white"/>
        </w:rPr>
        <w:t xml:space="preserve"> </w:t>
      </w:r>
      <w:r w:rsidR="00B520EE">
        <w:rPr>
          <w:bCs/>
          <w:color w:val="000000"/>
          <w:highlight w:val="white"/>
        </w:rPr>
        <w:t>ricorda come</w:t>
      </w:r>
      <w:r w:rsidRPr="00B44E3E">
        <w:rPr>
          <w:bCs/>
          <w:color w:val="000000"/>
          <w:highlight w:val="white"/>
        </w:rPr>
        <w:t xml:space="preserve"> la Commissione Europea dal 2018 </w:t>
      </w:r>
      <w:r w:rsidR="00B520EE">
        <w:rPr>
          <w:bCs/>
          <w:color w:val="000000"/>
          <w:highlight w:val="white"/>
        </w:rPr>
        <w:t>abbia</w:t>
      </w:r>
      <w:r w:rsidRPr="00B44E3E">
        <w:rPr>
          <w:bCs/>
          <w:color w:val="000000"/>
          <w:highlight w:val="white"/>
        </w:rPr>
        <w:t xml:space="preserve"> deciso di valorizzare le politiche di condivisione</w:t>
      </w:r>
      <w:r w:rsidR="00577F8C">
        <w:rPr>
          <w:bCs/>
          <w:color w:val="000000"/>
          <w:highlight w:val="white"/>
        </w:rPr>
        <w:t>,</w:t>
      </w:r>
      <w:r w:rsidRPr="00B44E3E">
        <w:rPr>
          <w:bCs/>
          <w:color w:val="000000"/>
          <w:highlight w:val="white"/>
        </w:rPr>
        <w:t xml:space="preserve"> riconosce</w:t>
      </w:r>
      <w:r w:rsidR="00577F8C">
        <w:rPr>
          <w:bCs/>
          <w:color w:val="000000"/>
          <w:highlight w:val="white"/>
        </w:rPr>
        <w:t xml:space="preserve">ndo </w:t>
      </w:r>
      <w:r w:rsidRPr="00B44E3E">
        <w:rPr>
          <w:bCs/>
          <w:color w:val="000000"/>
          <w:highlight w:val="white"/>
        </w:rPr>
        <w:t>diverse attività dei ricercatori e non solo le pubblicazioni</w:t>
      </w:r>
      <w:r w:rsidR="00AD68B4">
        <w:rPr>
          <w:bCs/>
          <w:color w:val="000000"/>
          <w:highlight w:val="white"/>
        </w:rPr>
        <w:t>.</w:t>
      </w:r>
    </w:p>
    <w:p w14:paraId="52D1B2F7" w14:textId="29701033" w:rsidR="00B44E3E" w:rsidRDefault="008C68BB" w:rsidP="00F65D94">
      <w:pPr>
        <w:pBdr>
          <w:top w:val="nil"/>
          <w:left w:val="nil"/>
          <w:bottom w:val="nil"/>
          <w:right w:val="nil"/>
          <w:between w:val="nil"/>
        </w:pBdr>
        <w:jc w:val="both"/>
        <w:rPr>
          <w:bCs/>
          <w:color w:val="000000"/>
          <w:highlight w:val="white"/>
        </w:rPr>
      </w:pPr>
      <w:r>
        <w:rPr>
          <w:bCs/>
          <w:color w:val="000000"/>
          <w:highlight w:val="white"/>
        </w:rPr>
        <w:t xml:space="preserve">Si sottolinea </w:t>
      </w:r>
      <w:r w:rsidR="00B44E3E">
        <w:rPr>
          <w:bCs/>
          <w:color w:val="000000"/>
          <w:highlight w:val="white"/>
        </w:rPr>
        <w:t xml:space="preserve">come </w:t>
      </w:r>
      <w:r w:rsidR="00B44E3E" w:rsidRPr="00B44E3E">
        <w:rPr>
          <w:bCs/>
          <w:color w:val="000000"/>
          <w:highlight w:val="white"/>
        </w:rPr>
        <w:t>H</w:t>
      </w:r>
      <w:r>
        <w:rPr>
          <w:bCs/>
          <w:color w:val="000000"/>
          <w:highlight w:val="white"/>
        </w:rPr>
        <w:t>.E.</w:t>
      </w:r>
      <w:r w:rsidR="00B44E3E" w:rsidRPr="00B44E3E">
        <w:rPr>
          <w:bCs/>
          <w:color w:val="000000"/>
          <w:highlight w:val="white"/>
        </w:rPr>
        <w:t xml:space="preserve"> segu</w:t>
      </w:r>
      <w:r w:rsidR="00B44E3E">
        <w:rPr>
          <w:bCs/>
          <w:color w:val="000000"/>
          <w:highlight w:val="white"/>
        </w:rPr>
        <w:t>a</w:t>
      </w:r>
      <w:r w:rsidR="00B44E3E" w:rsidRPr="00B44E3E">
        <w:rPr>
          <w:bCs/>
          <w:color w:val="000000"/>
          <w:highlight w:val="white"/>
        </w:rPr>
        <w:t xml:space="preserve"> alcuni indicatori </w:t>
      </w:r>
      <w:r w:rsidR="00B520EE">
        <w:rPr>
          <w:bCs/>
          <w:color w:val="000000"/>
          <w:highlight w:val="white"/>
        </w:rPr>
        <w:t>c</w:t>
      </w:r>
      <w:r w:rsidR="00B44E3E" w:rsidRPr="00B44E3E">
        <w:rPr>
          <w:bCs/>
          <w:color w:val="000000"/>
          <w:highlight w:val="white"/>
        </w:rPr>
        <w:t xml:space="preserve">ome Cluster, </w:t>
      </w:r>
      <w:proofErr w:type="spellStart"/>
      <w:r w:rsidR="00B44E3E" w:rsidRPr="00B44E3E">
        <w:rPr>
          <w:bCs/>
          <w:color w:val="000000"/>
          <w:highlight w:val="white"/>
        </w:rPr>
        <w:t>Mission</w:t>
      </w:r>
      <w:proofErr w:type="spellEnd"/>
      <w:r w:rsidR="00B44E3E" w:rsidRPr="00B44E3E">
        <w:rPr>
          <w:bCs/>
          <w:color w:val="000000"/>
          <w:highlight w:val="white"/>
        </w:rPr>
        <w:t xml:space="preserve">, partnership </w:t>
      </w:r>
      <w:proofErr w:type="spellStart"/>
      <w:r w:rsidR="00B44E3E" w:rsidRPr="00B44E3E">
        <w:rPr>
          <w:bCs/>
          <w:color w:val="000000"/>
          <w:highlight w:val="white"/>
        </w:rPr>
        <w:t>Research</w:t>
      </w:r>
      <w:proofErr w:type="spellEnd"/>
      <w:r w:rsidR="00B44E3E" w:rsidRPr="00B44E3E">
        <w:rPr>
          <w:bCs/>
          <w:color w:val="000000"/>
          <w:highlight w:val="white"/>
        </w:rPr>
        <w:t xml:space="preserve"> </w:t>
      </w:r>
      <w:proofErr w:type="spellStart"/>
      <w:r w:rsidR="00B44E3E" w:rsidRPr="00B44E3E">
        <w:rPr>
          <w:bCs/>
          <w:color w:val="000000"/>
          <w:highlight w:val="white"/>
        </w:rPr>
        <w:t>Infrastructures</w:t>
      </w:r>
      <w:proofErr w:type="spellEnd"/>
      <w:r w:rsidR="00B44E3E">
        <w:rPr>
          <w:bCs/>
          <w:color w:val="000000"/>
          <w:highlight w:val="white"/>
        </w:rPr>
        <w:t xml:space="preserve"> ed</w:t>
      </w:r>
      <w:r w:rsidR="00B44E3E" w:rsidRPr="00B44E3E">
        <w:rPr>
          <w:bCs/>
          <w:color w:val="000000"/>
          <w:highlight w:val="white"/>
        </w:rPr>
        <w:t xml:space="preserve"> </w:t>
      </w:r>
      <w:r w:rsidR="00B44E3E">
        <w:rPr>
          <w:bCs/>
          <w:color w:val="000000"/>
          <w:highlight w:val="white"/>
        </w:rPr>
        <w:t>i</w:t>
      </w:r>
      <w:r w:rsidR="00B44E3E" w:rsidRPr="00B44E3E">
        <w:rPr>
          <w:bCs/>
          <w:color w:val="000000"/>
          <w:highlight w:val="white"/>
        </w:rPr>
        <w:t xml:space="preserve"> valutatori devono valutare attività Open Science con criterio di </w:t>
      </w:r>
      <w:proofErr w:type="spellStart"/>
      <w:r w:rsidR="00B44E3E" w:rsidRPr="00B44E3E">
        <w:rPr>
          <w:bCs/>
          <w:color w:val="000000"/>
          <w:highlight w:val="white"/>
        </w:rPr>
        <w:t>Excellence</w:t>
      </w:r>
      <w:proofErr w:type="spellEnd"/>
      <w:r w:rsidR="00B44E3E">
        <w:rPr>
          <w:bCs/>
          <w:color w:val="000000"/>
          <w:highlight w:val="white"/>
        </w:rPr>
        <w:t>, n</w:t>
      </w:r>
      <w:r w:rsidR="00B44E3E" w:rsidRPr="00B44E3E">
        <w:rPr>
          <w:bCs/>
          <w:color w:val="000000"/>
          <w:highlight w:val="white"/>
        </w:rPr>
        <w:t>on si poss</w:t>
      </w:r>
      <w:r w:rsidR="00F65D94">
        <w:rPr>
          <w:bCs/>
          <w:color w:val="000000"/>
          <w:highlight w:val="white"/>
        </w:rPr>
        <w:t>a</w:t>
      </w:r>
      <w:r w:rsidR="00B44E3E" w:rsidRPr="00B44E3E">
        <w:rPr>
          <w:bCs/>
          <w:color w:val="000000"/>
          <w:highlight w:val="white"/>
        </w:rPr>
        <w:t xml:space="preserve">no più finanziare progetti con dati chiusi e i dati </w:t>
      </w:r>
      <w:r w:rsidR="00F65D94">
        <w:rPr>
          <w:bCs/>
          <w:color w:val="000000"/>
          <w:highlight w:val="white"/>
        </w:rPr>
        <w:t>debbano</w:t>
      </w:r>
      <w:r w:rsidR="00B44E3E" w:rsidRPr="00B44E3E">
        <w:rPr>
          <w:bCs/>
          <w:color w:val="000000"/>
          <w:highlight w:val="white"/>
        </w:rPr>
        <w:t xml:space="preserve"> seguire criteri FAIR</w:t>
      </w:r>
      <w:r w:rsidR="00B44E3E">
        <w:rPr>
          <w:bCs/>
          <w:color w:val="000000"/>
          <w:highlight w:val="white"/>
        </w:rPr>
        <w:t>,</w:t>
      </w:r>
      <w:r w:rsidR="00B44E3E" w:rsidRPr="00B44E3E">
        <w:rPr>
          <w:bCs/>
          <w:color w:val="000000"/>
          <w:highlight w:val="white"/>
        </w:rPr>
        <w:t xml:space="preserve"> </w:t>
      </w:r>
      <w:r w:rsidR="00F65D94">
        <w:rPr>
          <w:bCs/>
          <w:color w:val="000000"/>
          <w:highlight w:val="white"/>
        </w:rPr>
        <w:t xml:space="preserve">prevedendo </w:t>
      </w:r>
      <w:r w:rsidR="00B44E3E" w:rsidRPr="00B44E3E">
        <w:rPr>
          <w:bCs/>
          <w:color w:val="000000"/>
          <w:highlight w:val="white"/>
        </w:rPr>
        <w:t>obbligatori</w:t>
      </w:r>
      <w:r w:rsidR="00F65D94">
        <w:rPr>
          <w:bCs/>
          <w:color w:val="000000"/>
          <w:highlight w:val="white"/>
        </w:rPr>
        <w:t>amente</w:t>
      </w:r>
      <w:r w:rsidR="00B44E3E" w:rsidRPr="00B44E3E">
        <w:rPr>
          <w:bCs/>
          <w:color w:val="000000"/>
          <w:highlight w:val="white"/>
        </w:rPr>
        <w:t xml:space="preserve"> nei progetti i Data management Plan</w:t>
      </w:r>
      <w:r w:rsidR="00B44E3E">
        <w:rPr>
          <w:bCs/>
          <w:color w:val="000000"/>
          <w:highlight w:val="white"/>
        </w:rPr>
        <w:t>.</w:t>
      </w:r>
    </w:p>
    <w:p w14:paraId="1B7DF86F" w14:textId="10E25D41" w:rsidR="00B44E3E" w:rsidRPr="00B44E3E" w:rsidRDefault="00DE55A1" w:rsidP="00F65D94">
      <w:pPr>
        <w:pBdr>
          <w:top w:val="nil"/>
          <w:left w:val="nil"/>
          <w:bottom w:val="nil"/>
          <w:right w:val="nil"/>
          <w:between w:val="nil"/>
        </w:pBdr>
        <w:jc w:val="both"/>
        <w:rPr>
          <w:bCs/>
          <w:color w:val="000000"/>
          <w:highlight w:val="white"/>
        </w:rPr>
      </w:pPr>
      <w:r>
        <w:rPr>
          <w:bCs/>
          <w:color w:val="000000"/>
          <w:highlight w:val="white"/>
        </w:rPr>
        <w:t>Si da notizia che a</w:t>
      </w:r>
      <w:r w:rsidR="00B44E3E" w:rsidRPr="00B44E3E">
        <w:rPr>
          <w:bCs/>
          <w:color w:val="000000"/>
          <w:highlight w:val="white"/>
        </w:rPr>
        <w:t>ll’ERAC Forum di ieri è stata presentata la versione 3 dell’accordo in cui si prevede una timeline di 5 anni per la trasformazione del metodo di valutazione.</w:t>
      </w:r>
    </w:p>
    <w:p w14:paraId="73C8B135" w14:textId="778E9BBF" w:rsidR="00B44E3E" w:rsidRDefault="00DE55A1" w:rsidP="00F65D94">
      <w:pPr>
        <w:pBdr>
          <w:top w:val="nil"/>
          <w:left w:val="nil"/>
          <w:bottom w:val="nil"/>
          <w:right w:val="nil"/>
          <w:between w:val="nil"/>
        </w:pBdr>
        <w:jc w:val="both"/>
        <w:rPr>
          <w:bCs/>
          <w:color w:val="000000"/>
          <w:highlight w:val="white"/>
        </w:rPr>
      </w:pPr>
      <w:r>
        <w:rPr>
          <w:bCs/>
          <w:color w:val="000000"/>
          <w:highlight w:val="white"/>
        </w:rPr>
        <w:t>F</w:t>
      </w:r>
      <w:r w:rsidR="00B44E3E" w:rsidRPr="00B44E3E">
        <w:rPr>
          <w:bCs/>
          <w:color w:val="000000"/>
          <w:highlight w:val="white"/>
        </w:rPr>
        <w:t xml:space="preserve">ocus dell’accordo è promuovere la valutazione qualitativa e incoraggiare uso responsabile dei metodi di misura quantitativi e la peer review. </w:t>
      </w:r>
      <w:proofErr w:type="spellStart"/>
      <w:r w:rsidR="00B44E3E" w:rsidRPr="00B44E3E">
        <w:rPr>
          <w:bCs/>
          <w:color w:val="000000"/>
          <w:highlight w:val="white"/>
        </w:rPr>
        <w:t>Bibliodiversità</w:t>
      </w:r>
      <w:proofErr w:type="spellEnd"/>
      <w:r w:rsidR="00B44E3E" w:rsidRPr="00B44E3E">
        <w:rPr>
          <w:bCs/>
          <w:color w:val="000000"/>
          <w:highlight w:val="white"/>
        </w:rPr>
        <w:t xml:space="preserve"> per la pluralità di output e la ricerca e valorizzazione del multilinguismo.</w:t>
      </w:r>
    </w:p>
    <w:p w14:paraId="185EE88F" w14:textId="4ACEC9D3" w:rsidR="00B44E3E" w:rsidRPr="00B44E3E" w:rsidRDefault="00B44E3E" w:rsidP="00B44E3E">
      <w:pPr>
        <w:pBdr>
          <w:top w:val="nil"/>
          <w:left w:val="nil"/>
          <w:bottom w:val="nil"/>
          <w:right w:val="nil"/>
          <w:between w:val="nil"/>
        </w:pBdr>
        <w:rPr>
          <w:bCs/>
          <w:color w:val="000000"/>
          <w:highlight w:val="white"/>
        </w:rPr>
      </w:pPr>
      <w:r w:rsidRPr="00B44E3E">
        <w:rPr>
          <w:bCs/>
          <w:color w:val="000000"/>
          <w:highlight w:val="white"/>
        </w:rPr>
        <w:t xml:space="preserve">Si introducono 10 impegni </w:t>
      </w:r>
      <w:r>
        <w:rPr>
          <w:bCs/>
          <w:color w:val="000000"/>
          <w:highlight w:val="white"/>
        </w:rPr>
        <w:t>(</w:t>
      </w:r>
      <w:r w:rsidRPr="00B44E3E">
        <w:rPr>
          <w:bCs/>
          <w:color w:val="000000"/>
          <w:highlight w:val="white"/>
        </w:rPr>
        <w:t>4 di core</w:t>
      </w:r>
      <w:r>
        <w:rPr>
          <w:bCs/>
          <w:color w:val="000000"/>
          <w:highlight w:val="white"/>
        </w:rPr>
        <w:t xml:space="preserve"> - </w:t>
      </w:r>
      <w:r w:rsidRPr="00B44E3E">
        <w:rPr>
          <w:bCs/>
          <w:color w:val="000000"/>
          <w:highlight w:val="white"/>
        </w:rPr>
        <w:t>6 di supporto</w:t>
      </w:r>
      <w:r>
        <w:rPr>
          <w:bCs/>
          <w:color w:val="000000"/>
          <w:highlight w:val="white"/>
        </w:rPr>
        <w:t>)</w:t>
      </w:r>
    </w:p>
    <w:p w14:paraId="0C0C702C" w14:textId="77777777" w:rsidR="00B44E3E" w:rsidRPr="00B44E3E" w:rsidRDefault="00B44E3E" w:rsidP="00B44E3E">
      <w:pPr>
        <w:pBdr>
          <w:top w:val="nil"/>
          <w:left w:val="nil"/>
          <w:bottom w:val="nil"/>
          <w:right w:val="nil"/>
          <w:between w:val="nil"/>
        </w:pBdr>
        <w:rPr>
          <w:bCs/>
          <w:color w:val="000000"/>
          <w:highlight w:val="white"/>
        </w:rPr>
      </w:pPr>
    </w:p>
    <w:p w14:paraId="543800A1" w14:textId="77777777" w:rsidR="00B44E3E" w:rsidRPr="00B44E3E" w:rsidRDefault="00B44E3E" w:rsidP="00B44E3E">
      <w:pPr>
        <w:numPr>
          <w:ilvl w:val="0"/>
          <w:numId w:val="8"/>
        </w:numPr>
        <w:pBdr>
          <w:top w:val="nil"/>
          <w:left w:val="nil"/>
          <w:bottom w:val="nil"/>
          <w:right w:val="nil"/>
          <w:between w:val="nil"/>
        </w:pBdr>
        <w:rPr>
          <w:bCs/>
          <w:color w:val="000000"/>
          <w:highlight w:val="white"/>
        </w:rPr>
      </w:pPr>
      <w:r w:rsidRPr="00B44E3E">
        <w:rPr>
          <w:bCs/>
          <w:color w:val="000000"/>
          <w:highlight w:val="white"/>
        </w:rPr>
        <w:t xml:space="preserve">Diversità contributi (già in Dora </w:t>
      </w:r>
      <w:proofErr w:type="spellStart"/>
      <w:r w:rsidRPr="00B44E3E">
        <w:rPr>
          <w:bCs/>
          <w:color w:val="000000"/>
          <w:highlight w:val="white"/>
        </w:rPr>
        <w:t>Declaration</w:t>
      </w:r>
      <w:proofErr w:type="spellEnd"/>
      <w:r w:rsidRPr="00B44E3E">
        <w:rPr>
          <w:bCs/>
          <w:color w:val="000000"/>
          <w:highlight w:val="white"/>
        </w:rPr>
        <w:t>)</w:t>
      </w:r>
    </w:p>
    <w:p w14:paraId="037D069F" w14:textId="77777777" w:rsidR="00B44E3E" w:rsidRPr="00B44E3E" w:rsidRDefault="00B44E3E" w:rsidP="00B44E3E">
      <w:pPr>
        <w:numPr>
          <w:ilvl w:val="0"/>
          <w:numId w:val="8"/>
        </w:numPr>
        <w:pBdr>
          <w:top w:val="nil"/>
          <w:left w:val="nil"/>
          <w:bottom w:val="nil"/>
          <w:right w:val="nil"/>
          <w:between w:val="nil"/>
        </w:pBdr>
        <w:rPr>
          <w:bCs/>
          <w:color w:val="000000"/>
          <w:highlight w:val="white"/>
        </w:rPr>
      </w:pPr>
      <w:r w:rsidRPr="00B44E3E">
        <w:rPr>
          <w:bCs/>
          <w:color w:val="000000"/>
          <w:highlight w:val="white"/>
        </w:rPr>
        <w:t>Qualità di valutazione</w:t>
      </w:r>
    </w:p>
    <w:p w14:paraId="6E73A4FA" w14:textId="77777777" w:rsidR="00B44E3E" w:rsidRPr="00B44E3E" w:rsidRDefault="00B44E3E" w:rsidP="00B44E3E">
      <w:pPr>
        <w:numPr>
          <w:ilvl w:val="0"/>
          <w:numId w:val="8"/>
        </w:numPr>
        <w:pBdr>
          <w:top w:val="nil"/>
          <w:left w:val="nil"/>
          <w:bottom w:val="nil"/>
          <w:right w:val="nil"/>
          <w:between w:val="nil"/>
        </w:pBdr>
        <w:rPr>
          <w:bCs/>
          <w:color w:val="000000"/>
          <w:highlight w:val="white"/>
        </w:rPr>
      </w:pPr>
      <w:r w:rsidRPr="00B44E3E">
        <w:rPr>
          <w:bCs/>
          <w:color w:val="000000"/>
          <w:highlight w:val="white"/>
        </w:rPr>
        <w:t xml:space="preserve">No usi inappropriati degli indicatori e no Impact </w:t>
      </w:r>
      <w:proofErr w:type="spellStart"/>
      <w:r w:rsidRPr="00B44E3E">
        <w:rPr>
          <w:bCs/>
          <w:color w:val="000000"/>
          <w:highlight w:val="white"/>
        </w:rPr>
        <w:t>Factor</w:t>
      </w:r>
      <w:proofErr w:type="spellEnd"/>
    </w:p>
    <w:p w14:paraId="658CF2E5" w14:textId="77777777" w:rsidR="00B44E3E" w:rsidRPr="00B44E3E" w:rsidRDefault="00B44E3E" w:rsidP="00B44E3E">
      <w:pPr>
        <w:numPr>
          <w:ilvl w:val="0"/>
          <w:numId w:val="8"/>
        </w:numPr>
        <w:pBdr>
          <w:top w:val="nil"/>
          <w:left w:val="nil"/>
          <w:bottom w:val="nil"/>
          <w:right w:val="nil"/>
          <w:between w:val="nil"/>
        </w:pBdr>
        <w:rPr>
          <w:bCs/>
          <w:color w:val="000000"/>
          <w:highlight w:val="white"/>
        </w:rPr>
      </w:pPr>
      <w:r w:rsidRPr="00B44E3E">
        <w:rPr>
          <w:bCs/>
          <w:color w:val="000000"/>
          <w:highlight w:val="white"/>
        </w:rPr>
        <w:t>Abbandonare rating enti ricerca</w:t>
      </w:r>
    </w:p>
    <w:p w14:paraId="6B4F2091" w14:textId="77777777" w:rsidR="00B44E3E" w:rsidRPr="00B44E3E" w:rsidRDefault="00B44E3E" w:rsidP="00B44E3E">
      <w:pPr>
        <w:numPr>
          <w:ilvl w:val="0"/>
          <w:numId w:val="8"/>
        </w:numPr>
        <w:pBdr>
          <w:top w:val="nil"/>
          <w:left w:val="nil"/>
          <w:bottom w:val="nil"/>
          <w:right w:val="nil"/>
          <w:between w:val="nil"/>
        </w:pBdr>
        <w:rPr>
          <w:bCs/>
          <w:color w:val="000000"/>
          <w:highlight w:val="white"/>
        </w:rPr>
      </w:pPr>
      <w:r w:rsidRPr="00B44E3E">
        <w:rPr>
          <w:bCs/>
          <w:color w:val="000000"/>
          <w:highlight w:val="white"/>
        </w:rPr>
        <w:t>Attuare un cambiamento culturale</w:t>
      </w:r>
    </w:p>
    <w:p w14:paraId="55A151A9" w14:textId="77777777" w:rsidR="00B44E3E" w:rsidRPr="00B92B5D" w:rsidRDefault="00B44E3E" w:rsidP="00B44E3E">
      <w:pPr>
        <w:numPr>
          <w:ilvl w:val="0"/>
          <w:numId w:val="8"/>
        </w:numPr>
        <w:pBdr>
          <w:top w:val="nil"/>
          <w:left w:val="nil"/>
          <w:bottom w:val="nil"/>
          <w:right w:val="nil"/>
          <w:between w:val="nil"/>
        </w:pBdr>
        <w:rPr>
          <w:bCs/>
          <w:color w:val="000000"/>
          <w:highlight w:val="white"/>
          <w:lang w:val="en-US"/>
        </w:rPr>
      </w:pPr>
      <w:r w:rsidRPr="00B92B5D">
        <w:rPr>
          <w:bCs/>
          <w:color w:val="000000"/>
          <w:highlight w:val="white"/>
          <w:lang w:val="en-US"/>
        </w:rPr>
        <w:t>Review and develop criteria tools and processes for research assessment</w:t>
      </w:r>
    </w:p>
    <w:p w14:paraId="28C6AB52" w14:textId="77777777" w:rsidR="00B44E3E" w:rsidRPr="00B44E3E" w:rsidRDefault="00B44E3E" w:rsidP="00B44E3E">
      <w:pPr>
        <w:numPr>
          <w:ilvl w:val="0"/>
          <w:numId w:val="8"/>
        </w:numPr>
        <w:pBdr>
          <w:top w:val="nil"/>
          <w:left w:val="nil"/>
          <w:bottom w:val="nil"/>
          <w:right w:val="nil"/>
          <w:between w:val="nil"/>
        </w:pBdr>
        <w:rPr>
          <w:bCs/>
          <w:color w:val="000000"/>
          <w:highlight w:val="white"/>
        </w:rPr>
      </w:pPr>
      <w:r w:rsidRPr="00B44E3E">
        <w:rPr>
          <w:bCs/>
          <w:color w:val="000000"/>
          <w:highlight w:val="white"/>
        </w:rPr>
        <w:t>Coinvolgimento della comunità scientifica per avviare un processo trasparente di riforma</w:t>
      </w:r>
    </w:p>
    <w:p w14:paraId="68A723FB" w14:textId="77777777" w:rsidR="00B44E3E" w:rsidRPr="00B44E3E" w:rsidRDefault="00B44E3E" w:rsidP="00B44E3E">
      <w:pPr>
        <w:numPr>
          <w:ilvl w:val="0"/>
          <w:numId w:val="8"/>
        </w:numPr>
        <w:pBdr>
          <w:top w:val="nil"/>
          <w:left w:val="nil"/>
          <w:bottom w:val="nil"/>
          <w:right w:val="nil"/>
          <w:between w:val="nil"/>
        </w:pBdr>
        <w:rPr>
          <w:bCs/>
          <w:color w:val="000000"/>
          <w:highlight w:val="white"/>
        </w:rPr>
      </w:pPr>
      <w:r w:rsidRPr="00B44E3E">
        <w:rPr>
          <w:bCs/>
          <w:color w:val="000000"/>
          <w:highlight w:val="white"/>
        </w:rPr>
        <w:t>I ricercatori dovranno investire nella trasformazione e sperimentare nuovi metodi di valutazione per trovare i più adatti</w:t>
      </w:r>
    </w:p>
    <w:p w14:paraId="38E64133" w14:textId="77777777" w:rsidR="006B37C2" w:rsidRDefault="00B44E3E" w:rsidP="006B37C2">
      <w:pPr>
        <w:numPr>
          <w:ilvl w:val="0"/>
          <w:numId w:val="8"/>
        </w:numPr>
        <w:pBdr>
          <w:top w:val="nil"/>
          <w:left w:val="nil"/>
          <w:bottom w:val="nil"/>
          <w:right w:val="nil"/>
          <w:between w:val="nil"/>
        </w:pBdr>
        <w:rPr>
          <w:bCs/>
          <w:color w:val="000000"/>
          <w:highlight w:val="white"/>
        </w:rPr>
      </w:pPr>
      <w:r w:rsidRPr="00B44E3E">
        <w:rPr>
          <w:bCs/>
          <w:color w:val="000000"/>
          <w:highlight w:val="white"/>
        </w:rPr>
        <w:t xml:space="preserve">Comunicare i progressi </w:t>
      </w:r>
    </w:p>
    <w:p w14:paraId="16280777" w14:textId="7417689D" w:rsidR="006B37C2" w:rsidRDefault="006B37C2" w:rsidP="006B37C2">
      <w:pPr>
        <w:numPr>
          <w:ilvl w:val="0"/>
          <w:numId w:val="8"/>
        </w:numPr>
        <w:pBdr>
          <w:top w:val="nil"/>
          <w:left w:val="nil"/>
          <w:bottom w:val="nil"/>
          <w:right w:val="nil"/>
          <w:between w:val="nil"/>
        </w:pBdr>
        <w:rPr>
          <w:bCs/>
          <w:color w:val="000000"/>
          <w:highlight w:val="white"/>
        </w:rPr>
      </w:pPr>
      <w:r w:rsidRPr="007C641A">
        <w:rPr>
          <w:bCs/>
          <w:color w:val="000000"/>
          <w:highlight w:val="white"/>
        </w:rPr>
        <w:t>Valutare pratiche, criteri e strumenti basati su prove solide e lo stato dell'arte nella ricerca e rendere i dati apertamente disponibili</w:t>
      </w:r>
      <w:r w:rsidR="007C641A">
        <w:rPr>
          <w:bCs/>
          <w:color w:val="000000"/>
          <w:highlight w:val="white"/>
        </w:rPr>
        <w:t>.</w:t>
      </w:r>
    </w:p>
    <w:p w14:paraId="41153204" w14:textId="77777777" w:rsidR="00196C50" w:rsidRPr="007C641A" w:rsidRDefault="00196C50" w:rsidP="00196C50">
      <w:pPr>
        <w:pBdr>
          <w:top w:val="nil"/>
          <w:left w:val="nil"/>
          <w:bottom w:val="nil"/>
          <w:right w:val="nil"/>
          <w:between w:val="nil"/>
        </w:pBdr>
        <w:ind w:left="832"/>
        <w:rPr>
          <w:bCs/>
          <w:color w:val="000000"/>
          <w:highlight w:val="white"/>
        </w:rPr>
      </w:pPr>
    </w:p>
    <w:p w14:paraId="583372CB" w14:textId="2CCEAEB5" w:rsidR="00B44E3E" w:rsidRPr="00196C50" w:rsidRDefault="00B44E3E" w:rsidP="00F65D94">
      <w:pPr>
        <w:pBdr>
          <w:top w:val="nil"/>
          <w:left w:val="nil"/>
          <w:bottom w:val="nil"/>
          <w:right w:val="nil"/>
          <w:between w:val="nil"/>
        </w:pBdr>
        <w:jc w:val="both"/>
        <w:rPr>
          <w:bCs/>
          <w:color w:val="000000"/>
          <w:highlight w:val="white"/>
        </w:rPr>
      </w:pPr>
      <w:r w:rsidRPr="00196C50">
        <w:rPr>
          <w:bCs/>
          <w:color w:val="000000"/>
          <w:highlight w:val="white"/>
        </w:rPr>
        <w:t>Tra gli Stakeholders di questo accordo ci sono ANVUR, MUR</w:t>
      </w:r>
      <w:r w:rsidR="00F65D94" w:rsidRPr="00196C50">
        <w:rPr>
          <w:bCs/>
          <w:color w:val="000000"/>
          <w:highlight w:val="white"/>
        </w:rPr>
        <w:t>,</w:t>
      </w:r>
      <w:r w:rsidRPr="00196C50">
        <w:rPr>
          <w:bCs/>
          <w:color w:val="000000"/>
          <w:highlight w:val="white"/>
        </w:rPr>
        <w:t xml:space="preserve"> EPR e Università</w:t>
      </w:r>
      <w:r w:rsidR="00F65D94" w:rsidRPr="00196C50">
        <w:rPr>
          <w:bCs/>
          <w:color w:val="000000"/>
          <w:highlight w:val="white"/>
        </w:rPr>
        <w:t>.</w:t>
      </w:r>
    </w:p>
    <w:p w14:paraId="0347D207" w14:textId="2800DD64" w:rsidR="00B44E3E" w:rsidRPr="00196C50" w:rsidRDefault="00B44E3E" w:rsidP="00F65D94">
      <w:pPr>
        <w:pBdr>
          <w:top w:val="nil"/>
          <w:left w:val="nil"/>
          <w:bottom w:val="nil"/>
          <w:right w:val="nil"/>
          <w:between w:val="nil"/>
        </w:pBdr>
        <w:jc w:val="both"/>
        <w:rPr>
          <w:bCs/>
          <w:color w:val="000000"/>
          <w:highlight w:val="white"/>
        </w:rPr>
      </w:pPr>
      <w:r w:rsidRPr="00196C50">
        <w:rPr>
          <w:bCs/>
          <w:color w:val="000000"/>
          <w:highlight w:val="white"/>
        </w:rPr>
        <w:t>In conclusione</w:t>
      </w:r>
      <w:r w:rsidR="00F65D94" w:rsidRPr="00196C50">
        <w:rPr>
          <w:bCs/>
          <w:color w:val="000000"/>
          <w:highlight w:val="white"/>
        </w:rPr>
        <w:t>,</w:t>
      </w:r>
      <w:r w:rsidRPr="00196C50">
        <w:rPr>
          <w:bCs/>
          <w:color w:val="000000"/>
          <w:highlight w:val="white"/>
        </w:rPr>
        <w:t xml:space="preserve"> Di Donato sottolinea la </w:t>
      </w:r>
      <w:r w:rsidR="00DE55A1" w:rsidRPr="00196C50">
        <w:rPr>
          <w:bCs/>
          <w:color w:val="000000"/>
          <w:highlight w:val="white"/>
        </w:rPr>
        <w:t>necessità</w:t>
      </w:r>
      <w:r w:rsidRPr="00196C50">
        <w:rPr>
          <w:bCs/>
          <w:color w:val="000000"/>
          <w:highlight w:val="white"/>
        </w:rPr>
        <w:t xml:space="preserve"> di </w:t>
      </w:r>
      <w:r w:rsidR="00F65D94" w:rsidRPr="00196C50">
        <w:rPr>
          <w:bCs/>
          <w:color w:val="000000"/>
          <w:highlight w:val="white"/>
        </w:rPr>
        <w:t>sollecitare</w:t>
      </w:r>
      <w:r w:rsidRPr="00196C50">
        <w:rPr>
          <w:bCs/>
          <w:color w:val="000000"/>
          <w:highlight w:val="white"/>
        </w:rPr>
        <w:t xml:space="preserve"> i Presidenti degli EPR </w:t>
      </w:r>
      <w:r w:rsidR="00F65D94" w:rsidRPr="00196C50">
        <w:rPr>
          <w:bCs/>
          <w:color w:val="000000"/>
          <w:highlight w:val="white"/>
        </w:rPr>
        <w:t>a</w:t>
      </w:r>
      <w:r w:rsidRPr="00196C50">
        <w:rPr>
          <w:bCs/>
          <w:color w:val="000000"/>
          <w:highlight w:val="white"/>
        </w:rPr>
        <w:t xml:space="preserve"> seguire l’Europa in questo momento per evitare di rimanere indietro.</w:t>
      </w:r>
    </w:p>
    <w:p w14:paraId="566EA2BB" w14:textId="629BB229" w:rsidR="003036C9" w:rsidRPr="00196C50" w:rsidRDefault="00577F8C" w:rsidP="00F65D94">
      <w:pPr>
        <w:pBdr>
          <w:top w:val="nil"/>
          <w:left w:val="nil"/>
          <w:bottom w:val="nil"/>
          <w:right w:val="nil"/>
          <w:between w:val="nil"/>
        </w:pBdr>
        <w:jc w:val="both"/>
        <w:rPr>
          <w:bCs/>
          <w:color w:val="000000"/>
          <w:highlight w:val="white"/>
        </w:rPr>
      </w:pPr>
      <w:r w:rsidRPr="00196C50">
        <w:rPr>
          <w:bCs/>
          <w:color w:val="000000"/>
          <w:highlight w:val="white"/>
        </w:rPr>
        <w:t xml:space="preserve">De Simone propone di preparare una raccomandazione congiunta con il </w:t>
      </w:r>
      <w:proofErr w:type="spellStart"/>
      <w:r w:rsidRPr="00196C50">
        <w:rPr>
          <w:bCs/>
          <w:color w:val="000000"/>
          <w:highlight w:val="white"/>
        </w:rPr>
        <w:t>GdL</w:t>
      </w:r>
      <w:proofErr w:type="spellEnd"/>
      <w:r w:rsidRPr="00196C50">
        <w:rPr>
          <w:bCs/>
          <w:color w:val="000000"/>
          <w:highlight w:val="white"/>
        </w:rPr>
        <w:t xml:space="preserve"> Valutazione per i presidenti su questi temi.</w:t>
      </w:r>
    </w:p>
    <w:p w14:paraId="1128CBE7" w14:textId="04DCB0BC" w:rsidR="00F65D94" w:rsidRPr="00196C50" w:rsidRDefault="003724A8" w:rsidP="00F65D94">
      <w:pPr>
        <w:pBdr>
          <w:top w:val="nil"/>
          <w:left w:val="nil"/>
          <w:bottom w:val="nil"/>
          <w:right w:val="nil"/>
          <w:between w:val="nil"/>
        </w:pBdr>
        <w:jc w:val="both"/>
        <w:rPr>
          <w:bCs/>
          <w:color w:val="000000"/>
          <w:highlight w:val="white"/>
        </w:rPr>
      </w:pPr>
      <w:r w:rsidRPr="00196C50">
        <w:rPr>
          <w:bCs/>
          <w:color w:val="000000"/>
          <w:highlight w:val="white"/>
        </w:rPr>
        <w:t xml:space="preserve">De Simone informa che il CNR sta lavorando alla definizione di un nuovo sistema di </w:t>
      </w:r>
      <w:r w:rsidR="00F65D94" w:rsidRPr="00196C50">
        <w:rPr>
          <w:bCs/>
          <w:color w:val="000000"/>
          <w:highlight w:val="white"/>
        </w:rPr>
        <w:t>valutazione</w:t>
      </w:r>
      <w:r w:rsidRPr="00196C50">
        <w:rPr>
          <w:bCs/>
          <w:color w:val="000000"/>
          <w:highlight w:val="white"/>
        </w:rPr>
        <w:t xml:space="preserve"> delle attività dei ricercatori </w:t>
      </w:r>
      <w:r w:rsidR="00F65D94" w:rsidRPr="00196C50">
        <w:rPr>
          <w:bCs/>
          <w:color w:val="000000"/>
          <w:highlight w:val="white"/>
        </w:rPr>
        <w:t>neo</w:t>
      </w:r>
      <w:r w:rsidRPr="00196C50">
        <w:rPr>
          <w:bCs/>
          <w:color w:val="000000"/>
          <w:highlight w:val="white"/>
        </w:rPr>
        <w:t>assunti</w:t>
      </w:r>
      <w:r w:rsidR="00F65D94" w:rsidRPr="00196C50">
        <w:rPr>
          <w:bCs/>
          <w:color w:val="000000"/>
          <w:highlight w:val="white"/>
        </w:rPr>
        <w:t xml:space="preserve"> e pone il tema della valutazione della produzione scientifica nel contesto delle politiche di reclutamento.</w:t>
      </w:r>
    </w:p>
    <w:p w14:paraId="6BDF3E48" w14:textId="3EA1DCAD" w:rsidR="00AC2BFA" w:rsidRPr="00B92B5D" w:rsidRDefault="00603027" w:rsidP="003724A8">
      <w:pPr>
        <w:pStyle w:val="Heading2"/>
        <w:rPr>
          <w:sz w:val="24"/>
          <w:szCs w:val="24"/>
          <w:highlight w:val="white"/>
          <w:lang w:val="en-US"/>
        </w:rPr>
      </w:pPr>
      <w:r w:rsidRPr="00B92B5D">
        <w:rPr>
          <w:rStyle w:val="SubtleReference"/>
          <w:rFonts w:asciiTheme="majorHAnsi" w:hAnsiTheme="majorHAnsi"/>
          <w:caps w:val="0"/>
          <w:sz w:val="24"/>
          <w:szCs w:val="24"/>
          <w:highlight w:val="white"/>
          <w:lang w:val="en-US"/>
        </w:rPr>
        <w:t>3-</w:t>
      </w:r>
      <w:r w:rsidR="0059033C" w:rsidRPr="00B92B5D">
        <w:rPr>
          <w:rStyle w:val="SubtleReference"/>
          <w:rFonts w:asciiTheme="majorHAnsi" w:hAnsiTheme="majorHAnsi"/>
          <w:caps w:val="0"/>
          <w:sz w:val="24"/>
          <w:szCs w:val="24"/>
          <w:highlight w:val="white"/>
          <w:lang w:val="en-US"/>
        </w:rPr>
        <w:t xml:space="preserve"> Task force APC e Task </w:t>
      </w:r>
      <w:proofErr w:type="spellStart"/>
      <w:r w:rsidR="0059033C" w:rsidRPr="00B92B5D">
        <w:rPr>
          <w:rStyle w:val="SubtleReference"/>
          <w:rFonts w:asciiTheme="majorHAnsi" w:hAnsiTheme="majorHAnsi"/>
          <w:caps w:val="0"/>
          <w:sz w:val="24"/>
          <w:szCs w:val="24"/>
          <w:highlight w:val="white"/>
          <w:lang w:val="en-US"/>
        </w:rPr>
        <w:t>questionario</w:t>
      </w:r>
      <w:proofErr w:type="spellEnd"/>
      <w:r w:rsidR="0059033C" w:rsidRPr="00B92B5D">
        <w:rPr>
          <w:rStyle w:val="SubtleReference"/>
          <w:rFonts w:asciiTheme="majorHAnsi" w:hAnsiTheme="majorHAnsi"/>
          <w:caps w:val="0"/>
          <w:sz w:val="24"/>
          <w:szCs w:val="24"/>
          <w:highlight w:val="white"/>
          <w:lang w:val="en-US"/>
        </w:rPr>
        <w:t xml:space="preserve"> Open Science</w:t>
      </w:r>
    </w:p>
    <w:p w14:paraId="12E19246" w14:textId="2174BC5E" w:rsidR="000F2D6E" w:rsidRPr="00196C50" w:rsidRDefault="000F2D6E" w:rsidP="00196C50">
      <w:pPr>
        <w:jc w:val="both"/>
        <w:rPr>
          <w:bCs/>
          <w:highlight w:val="white"/>
        </w:rPr>
      </w:pPr>
      <w:r w:rsidRPr="00196C50">
        <w:rPr>
          <w:bCs/>
          <w:highlight w:val="white"/>
        </w:rPr>
        <w:t>Bianco riassume il lavoro delle task force APC e le colleghe del CNR Maggi e Giannini ripercorrono le tappe del censimento CNR delle spese per le pubblicazioni ad Accesso aperto dal 2015 al 2022</w:t>
      </w:r>
      <w:r w:rsidR="00F65D94" w:rsidRPr="00196C50">
        <w:rPr>
          <w:bCs/>
          <w:highlight w:val="white"/>
        </w:rPr>
        <w:t>.</w:t>
      </w:r>
    </w:p>
    <w:p w14:paraId="7E0F7746" w14:textId="7DA4B93F" w:rsidR="00577F8C" w:rsidRPr="00196C50" w:rsidRDefault="00577F8C" w:rsidP="00196C50">
      <w:pPr>
        <w:jc w:val="both"/>
        <w:rPr>
          <w:bCs/>
          <w:highlight w:val="white"/>
        </w:rPr>
      </w:pPr>
      <w:r w:rsidRPr="00196C50">
        <w:rPr>
          <w:bCs/>
          <w:highlight w:val="white"/>
        </w:rPr>
        <w:lastRenderedPageBreak/>
        <w:t>Si decide di fare un incontro tecnico per definire le linee guida per il monitoring APC della Task force APC sul modello CNR prima dell’incontro del Gruppo di lavoro Open Science di luglio.</w:t>
      </w:r>
    </w:p>
    <w:p w14:paraId="526F235D" w14:textId="0CEBCA95" w:rsidR="003724A8" w:rsidRPr="00196C50" w:rsidRDefault="00577F8C" w:rsidP="00196C50">
      <w:pPr>
        <w:jc w:val="both"/>
        <w:rPr>
          <w:bCs/>
          <w:highlight w:val="white"/>
        </w:rPr>
      </w:pPr>
      <w:r w:rsidRPr="00196C50">
        <w:rPr>
          <w:bCs/>
          <w:highlight w:val="white"/>
        </w:rPr>
        <w:t xml:space="preserve">Anche per la Task force </w:t>
      </w:r>
      <w:r w:rsidR="00F65D94" w:rsidRPr="00196C50">
        <w:rPr>
          <w:bCs/>
          <w:highlight w:val="white"/>
        </w:rPr>
        <w:t xml:space="preserve">si </w:t>
      </w:r>
      <w:r w:rsidRPr="00196C50">
        <w:rPr>
          <w:bCs/>
          <w:highlight w:val="white"/>
        </w:rPr>
        <w:t>farà un incontro tecnico per arrivare alla stesura finale del Sondaggio OA da inviare ai referenti OA degli EPR.</w:t>
      </w:r>
    </w:p>
    <w:p w14:paraId="1855ECFE" w14:textId="7B505B47" w:rsidR="00992A29" w:rsidRPr="00196C50" w:rsidRDefault="00577F8C" w:rsidP="00196C50">
      <w:pPr>
        <w:jc w:val="both"/>
        <w:rPr>
          <w:bCs/>
          <w:highlight w:val="white"/>
        </w:rPr>
      </w:pPr>
      <w:r w:rsidRPr="00196C50">
        <w:rPr>
          <w:bCs/>
          <w:highlight w:val="white"/>
        </w:rPr>
        <w:t xml:space="preserve">Si propone di preparare un doodle per definire la data di </w:t>
      </w:r>
      <w:r w:rsidR="00196C50" w:rsidRPr="00196C50">
        <w:rPr>
          <w:bCs/>
          <w:highlight w:val="white"/>
        </w:rPr>
        <w:t>luglio</w:t>
      </w:r>
      <w:r w:rsidRPr="00196C50">
        <w:rPr>
          <w:bCs/>
          <w:highlight w:val="white"/>
        </w:rPr>
        <w:t xml:space="preserve">. [Le date vengono successivamente concordate: 30 giugno ore 11-13 task force Sondaggio e </w:t>
      </w:r>
      <w:proofErr w:type="spellStart"/>
      <w:r w:rsidRPr="00196C50">
        <w:rPr>
          <w:bCs/>
          <w:highlight w:val="white"/>
        </w:rPr>
        <w:t>openAPC</w:t>
      </w:r>
      <w:proofErr w:type="spellEnd"/>
      <w:r w:rsidRPr="00196C50">
        <w:rPr>
          <w:bCs/>
          <w:highlight w:val="white"/>
        </w:rPr>
        <w:t xml:space="preserve"> (aperte a tutti), 13 luglio ore 1100-1230 plenaria gruppo di lavoro Open Science</w:t>
      </w:r>
      <w:r w:rsidR="003724A8" w:rsidRPr="00196C50">
        <w:rPr>
          <w:bCs/>
          <w:highlight w:val="white"/>
        </w:rPr>
        <w:t>.</w:t>
      </w:r>
    </w:p>
    <w:p w14:paraId="2FDB1451" w14:textId="199FD853" w:rsidR="006E6EBD" w:rsidRPr="006E6EBD" w:rsidRDefault="006E6EBD" w:rsidP="006E6EBD">
      <w:pPr>
        <w:pStyle w:val="Heading2"/>
        <w:rPr>
          <w:sz w:val="24"/>
          <w:szCs w:val="24"/>
          <w:highlight w:val="white"/>
        </w:rPr>
      </w:pPr>
      <w:r w:rsidRPr="006E6EBD">
        <w:rPr>
          <w:sz w:val="24"/>
          <w:szCs w:val="24"/>
          <w:highlight w:val="white"/>
        </w:rPr>
        <w:t>3-</w:t>
      </w:r>
      <w:r w:rsidR="0059033C">
        <w:rPr>
          <w:sz w:val="24"/>
          <w:szCs w:val="24"/>
          <w:highlight w:val="white"/>
        </w:rPr>
        <w:t xml:space="preserve"> </w:t>
      </w:r>
      <w:r w:rsidRPr="006E6EBD">
        <w:rPr>
          <w:sz w:val="24"/>
          <w:szCs w:val="24"/>
          <w:highlight w:val="white"/>
        </w:rPr>
        <w:t>Conclusioni</w:t>
      </w:r>
    </w:p>
    <w:p w14:paraId="7DCBD2CA" w14:textId="77777777" w:rsidR="00196C50" w:rsidRDefault="00DF27D3" w:rsidP="0027232B">
      <w:pPr>
        <w:jc w:val="center"/>
        <w:rPr>
          <w:highlight w:val="white"/>
        </w:rPr>
      </w:pPr>
      <w:r w:rsidRPr="00DF27D3">
        <w:rPr>
          <w:highlight w:val="white"/>
        </w:rPr>
        <w:t xml:space="preserve">Alle ore 12 l’incontro si conclude. La prossima riunione è convocata per </w:t>
      </w:r>
      <w:r w:rsidR="00FD5C97">
        <w:rPr>
          <w:highlight w:val="white"/>
        </w:rPr>
        <w:t>Luglio</w:t>
      </w:r>
      <w:r w:rsidR="00186424">
        <w:rPr>
          <w:highlight w:val="white"/>
        </w:rPr>
        <w:t xml:space="preserve"> </w:t>
      </w:r>
      <w:r w:rsidRPr="00DF27D3">
        <w:rPr>
          <w:highlight w:val="white"/>
        </w:rPr>
        <w:t>202</w:t>
      </w:r>
      <w:r w:rsidR="0027232B">
        <w:rPr>
          <w:highlight w:val="white"/>
        </w:rPr>
        <w:t xml:space="preserve">2. </w:t>
      </w:r>
    </w:p>
    <w:p w14:paraId="5B778ABE" w14:textId="77777777" w:rsidR="00E967CE" w:rsidRDefault="00E967CE" w:rsidP="0027232B">
      <w:pPr>
        <w:rPr>
          <w:highlight w:val="white"/>
        </w:rPr>
      </w:pPr>
    </w:p>
    <w:sectPr w:rsidR="00E967CE">
      <w:footerReference w:type="even"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4D0F" w14:textId="77777777" w:rsidR="00AB0844" w:rsidRDefault="00AB0844">
      <w:r>
        <w:separator/>
      </w:r>
    </w:p>
  </w:endnote>
  <w:endnote w:type="continuationSeparator" w:id="0">
    <w:p w14:paraId="0D15C774" w14:textId="77777777" w:rsidR="00AB0844" w:rsidRDefault="00AB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1A7B" w14:textId="77777777" w:rsidR="00AC2BFA" w:rsidRDefault="005C1D8F">
    <w:pPr>
      <w:pBdr>
        <w:top w:val="nil"/>
        <w:left w:val="nil"/>
        <w:bottom w:val="nil"/>
        <w:right w:val="nil"/>
        <w:between w:val="nil"/>
      </w:pBdr>
      <w:tabs>
        <w:tab w:val="center" w:pos="4513"/>
        <w:tab w:val="right" w:pos="9026"/>
      </w:tabs>
      <w:jc w:val="center"/>
      <w:rPr>
        <w:color w:val="262626"/>
      </w:rPr>
    </w:pPr>
    <w:r>
      <w:rPr>
        <w:color w:val="262626"/>
      </w:rPr>
      <w:fldChar w:fldCharType="begin"/>
    </w:r>
    <w:r>
      <w:rPr>
        <w:color w:val="262626"/>
      </w:rPr>
      <w:instrText>PAGE</w:instrText>
    </w:r>
    <w:r w:rsidR="00AB0844">
      <w:rPr>
        <w:color w:val="262626"/>
      </w:rPr>
      <w:fldChar w:fldCharType="separate"/>
    </w:r>
    <w:r>
      <w:rPr>
        <w:color w:val="262626"/>
      </w:rPr>
      <w:fldChar w:fldCharType="end"/>
    </w:r>
  </w:p>
  <w:p w14:paraId="04C19A28" w14:textId="77777777" w:rsidR="00AC2BFA" w:rsidRDefault="00AC2BFA">
    <w:pPr>
      <w:pBdr>
        <w:top w:val="nil"/>
        <w:left w:val="nil"/>
        <w:bottom w:val="nil"/>
        <w:right w:val="nil"/>
        <w:between w:val="nil"/>
      </w:pBdr>
      <w:tabs>
        <w:tab w:val="center" w:pos="4513"/>
        <w:tab w:val="right" w:pos="9026"/>
      </w:tabs>
      <w:rPr>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3D51" w14:textId="77777777" w:rsidR="00AC2BFA" w:rsidRDefault="005C1D8F">
    <w:pPr>
      <w:pBdr>
        <w:top w:val="nil"/>
        <w:left w:val="nil"/>
        <w:bottom w:val="nil"/>
        <w:right w:val="nil"/>
        <w:between w:val="nil"/>
      </w:pBdr>
      <w:tabs>
        <w:tab w:val="center" w:pos="4513"/>
        <w:tab w:val="right" w:pos="9026"/>
      </w:tabs>
      <w:jc w:val="center"/>
      <w:rPr>
        <w:color w:val="262626"/>
      </w:rPr>
    </w:pPr>
    <w:r>
      <w:rPr>
        <w:color w:val="262626"/>
      </w:rPr>
      <w:fldChar w:fldCharType="begin"/>
    </w:r>
    <w:r>
      <w:rPr>
        <w:color w:val="262626"/>
      </w:rPr>
      <w:instrText>PAGE</w:instrText>
    </w:r>
    <w:r>
      <w:rPr>
        <w:color w:val="262626"/>
      </w:rPr>
      <w:fldChar w:fldCharType="separate"/>
    </w:r>
    <w:r>
      <w:rPr>
        <w:noProof/>
        <w:color w:val="262626"/>
      </w:rPr>
      <w:t>1</w:t>
    </w:r>
    <w:r>
      <w:rPr>
        <w:color w:val="262626"/>
      </w:rPr>
      <w:fldChar w:fldCharType="end"/>
    </w:r>
  </w:p>
  <w:p w14:paraId="3B59389F" w14:textId="77777777" w:rsidR="00AC2BFA" w:rsidRDefault="00AC2BFA">
    <w:pPr>
      <w:pBdr>
        <w:top w:val="nil"/>
        <w:left w:val="nil"/>
        <w:bottom w:val="nil"/>
        <w:right w:val="nil"/>
        <w:between w:val="nil"/>
      </w:pBdr>
      <w:tabs>
        <w:tab w:val="center" w:pos="4513"/>
        <w:tab w:val="right" w:pos="9026"/>
      </w:tabs>
      <w:rPr>
        <w:color w:val="2626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93734" w14:textId="77777777" w:rsidR="00AB0844" w:rsidRDefault="00AB0844">
      <w:r>
        <w:separator/>
      </w:r>
    </w:p>
  </w:footnote>
  <w:footnote w:type="continuationSeparator" w:id="0">
    <w:p w14:paraId="709CDDF7" w14:textId="77777777" w:rsidR="00AB0844" w:rsidRDefault="00AB0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2A6B"/>
    <w:multiLevelType w:val="multilevel"/>
    <w:tmpl w:val="F67238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E97290"/>
    <w:multiLevelType w:val="hybridMultilevel"/>
    <w:tmpl w:val="BB9CCF1C"/>
    <w:lvl w:ilvl="0" w:tplc="EBC6BE5E">
      <w:start w:val="1"/>
      <w:numFmt w:val="decimal"/>
      <w:lvlText w:val="%1."/>
      <w:lvlJc w:val="left"/>
      <w:pPr>
        <w:ind w:left="832" w:hanging="360"/>
      </w:pPr>
      <w:rPr>
        <w:rFonts w:ascii="Calibri" w:eastAsia="Calibri" w:hAnsi="Calibri" w:cs="Calibri" w:hint="default"/>
        <w:w w:val="100"/>
        <w:sz w:val="24"/>
        <w:szCs w:val="24"/>
        <w:lang w:val="it-IT" w:eastAsia="en-US" w:bidi="ar-SA"/>
      </w:rPr>
    </w:lvl>
    <w:lvl w:ilvl="1" w:tplc="C6485698">
      <w:numFmt w:val="bullet"/>
      <w:lvlText w:val="•"/>
      <w:lvlJc w:val="left"/>
      <w:pPr>
        <w:ind w:left="1742" w:hanging="360"/>
      </w:pPr>
      <w:rPr>
        <w:lang w:val="it-IT" w:eastAsia="en-US" w:bidi="ar-SA"/>
      </w:rPr>
    </w:lvl>
    <w:lvl w:ilvl="2" w:tplc="77686460">
      <w:numFmt w:val="bullet"/>
      <w:lvlText w:val="•"/>
      <w:lvlJc w:val="left"/>
      <w:pPr>
        <w:ind w:left="2644" w:hanging="360"/>
      </w:pPr>
      <w:rPr>
        <w:lang w:val="it-IT" w:eastAsia="en-US" w:bidi="ar-SA"/>
      </w:rPr>
    </w:lvl>
    <w:lvl w:ilvl="3" w:tplc="1D48CF76">
      <w:numFmt w:val="bullet"/>
      <w:lvlText w:val="•"/>
      <w:lvlJc w:val="left"/>
      <w:pPr>
        <w:ind w:left="3546" w:hanging="360"/>
      </w:pPr>
      <w:rPr>
        <w:lang w:val="it-IT" w:eastAsia="en-US" w:bidi="ar-SA"/>
      </w:rPr>
    </w:lvl>
    <w:lvl w:ilvl="4" w:tplc="9ABA5492">
      <w:numFmt w:val="bullet"/>
      <w:lvlText w:val="•"/>
      <w:lvlJc w:val="left"/>
      <w:pPr>
        <w:ind w:left="4448" w:hanging="360"/>
      </w:pPr>
      <w:rPr>
        <w:lang w:val="it-IT" w:eastAsia="en-US" w:bidi="ar-SA"/>
      </w:rPr>
    </w:lvl>
    <w:lvl w:ilvl="5" w:tplc="F34EA302">
      <w:numFmt w:val="bullet"/>
      <w:lvlText w:val="•"/>
      <w:lvlJc w:val="left"/>
      <w:pPr>
        <w:ind w:left="5350" w:hanging="360"/>
      </w:pPr>
      <w:rPr>
        <w:lang w:val="it-IT" w:eastAsia="en-US" w:bidi="ar-SA"/>
      </w:rPr>
    </w:lvl>
    <w:lvl w:ilvl="6" w:tplc="0F0CB432">
      <w:numFmt w:val="bullet"/>
      <w:lvlText w:val="•"/>
      <w:lvlJc w:val="left"/>
      <w:pPr>
        <w:ind w:left="6252" w:hanging="360"/>
      </w:pPr>
      <w:rPr>
        <w:lang w:val="it-IT" w:eastAsia="en-US" w:bidi="ar-SA"/>
      </w:rPr>
    </w:lvl>
    <w:lvl w:ilvl="7" w:tplc="8EC2449A">
      <w:numFmt w:val="bullet"/>
      <w:lvlText w:val="•"/>
      <w:lvlJc w:val="left"/>
      <w:pPr>
        <w:ind w:left="7154" w:hanging="360"/>
      </w:pPr>
      <w:rPr>
        <w:lang w:val="it-IT" w:eastAsia="en-US" w:bidi="ar-SA"/>
      </w:rPr>
    </w:lvl>
    <w:lvl w:ilvl="8" w:tplc="1C7C4630">
      <w:numFmt w:val="bullet"/>
      <w:lvlText w:val="•"/>
      <w:lvlJc w:val="left"/>
      <w:pPr>
        <w:ind w:left="8056" w:hanging="360"/>
      </w:pPr>
      <w:rPr>
        <w:lang w:val="it-IT" w:eastAsia="en-US" w:bidi="ar-SA"/>
      </w:rPr>
    </w:lvl>
  </w:abstractNum>
  <w:abstractNum w:abstractNumId="2" w15:restartNumberingAfterBreak="0">
    <w:nsid w:val="1E264E5A"/>
    <w:multiLevelType w:val="hybridMultilevel"/>
    <w:tmpl w:val="B32AC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52C85"/>
    <w:multiLevelType w:val="hybridMultilevel"/>
    <w:tmpl w:val="3BDE0E4E"/>
    <w:lvl w:ilvl="0" w:tplc="40046894">
      <w:start w:val="1"/>
      <w:numFmt w:val="decimal"/>
      <w:lvlText w:val="%1."/>
      <w:lvlJc w:val="left"/>
      <w:pPr>
        <w:ind w:left="832" w:hanging="360"/>
      </w:pPr>
      <w:rPr>
        <w:rFonts w:ascii="Calibri" w:eastAsia="Calibri" w:hAnsi="Calibri" w:cs="Calibri" w:hint="default"/>
        <w:w w:val="100"/>
        <w:sz w:val="24"/>
        <w:szCs w:val="24"/>
        <w:lang w:val="it-IT" w:eastAsia="en-US" w:bidi="ar-SA"/>
      </w:rPr>
    </w:lvl>
    <w:lvl w:ilvl="1" w:tplc="956601C2">
      <w:numFmt w:val="bullet"/>
      <w:lvlText w:val="•"/>
      <w:lvlJc w:val="left"/>
      <w:pPr>
        <w:ind w:left="1742" w:hanging="360"/>
      </w:pPr>
      <w:rPr>
        <w:lang w:val="it-IT" w:eastAsia="en-US" w:bidi="ar-SA"/>
      </w:rPr>
    </w:lvl>
    <w:lvl w:ilvl="2" w:tplc="A9385950">
      <w:numFmt w:val="bullet"/>
      <w:lvlText w:val="•"/>
      <w:lvlJc w:val="left"/>
      <w:pPr>
        <w:ind w:left="2644" w:hanging="360"/>
      </w:pPr>
      <w:rPr>
        <w:lang w:val="it-IT" w:eastAsia="en-US" w:bidi="ar-SA"/>
      </w:rPr>
    </w:lvl>
    <w:lvl w:ilvl="3" w:tplc="A708678E">
      <w:numFmt w:val="bullet"/>
      <w:lvlText w:val="•"/>
      <w:lvlJc w:val="left"/>
      <w:pPr>
        <w:ind w:left="3546" w:hanging="360"/>
      </w:pPr>
      <w:rPr>
        <w:lang w:val="it-IT" w:eastAsia="en-US" w:bidi="ar-SA"/>
      </w:rPr>
    </w:lvl>
    <w:lvl w:ilvl="4" w:tplc="3B3A7008">
      <w:numFmt w:val="bullet"/>
      <w:lvlText w:val="•"/>
      <w:lvlJc w:val="left"/>
      <w:pPr>
        <w:ind w:left="4448" w:hanging="360"/>
      </w:pPr>
      <w:rPr>
        <w:lang w:val="it-IT" w:eastAsia="en-US" w:bidi="ar-SA"/>
      </w:rPr>
    </w:lvl>
    <w:lvl w:ilvl="5" w:tplc="83AE438E">
      <w:numFmt w:val="bullet"/>
      <w:lvlText w:val="•"/>
      <w:lvlJc w:val="left"/>
      <w:pPr>
        <w:ind w:left="5350" w:hanging="360"/>
      </w:pPr>
      <w:rPr>
        <w:lang w:val="it-IT" w:eastAsia="en-US" w:bidi="ar-SA"/>
      </w:rPr>
    </w:lvl>
    <w:lvl w:ilvl="6" w:tplc="18FCE232">
      <w:numFmt w:val="bullet"/>
      <w:lvlText w:val="•"/>
      <w:lvlJc w:val="left"/>
      <w:pPr>
        <w:ind w:left="6252" w:hanging="360"/>
      </w:pPr>
      <w:rPr>
        <w:lang w:val="it-IT" w:eastAsia="en-US" w:bidi="ar-SA"/>
      </w:rPr>
    </w:lvl>
    <w:lvl w:ilvl="7" w:tplc="5DB2DFA6">
      <w:numFmt w:val="bullet"/>
      <w:lvlText w:val="•"/>
      <w:lvlJc w:val="left"/>
      <w:pPr>
        <w:ind w:left="7154" w:hanging="360"/>
      </w:pPr>
      <w:rPr>
        <w:lang w:val="it-IT" w:eastAsia="en-US" w:bidi="ar-SA"/>
      </w:rPr>
    </w:lvl>
    <w:lvl w:ilvl="8" w:tplc="97D40A98">
      <w:numFmt w:val="bullet"/>
      <w:lvlText w:val="•"/>
      <w:lvlJc w:val="left"/>
      <w:pPr>
        <w:ind w:left="8056" w:hanging="360"/>
      </w:pPr>
      <w:rPr>
        <w:lang w:val="it-IT" w:eastAsia="en-US" w:bidi="ar-SA"/>
      </w:rPr>
    </w:lvl>
  </w:abstractNum>
  <w:abstractNum w:abstractNumId="4" w15:restartNumberingAfterBreak="0">
    <w:nsid w:val="26096568"/>
    <w:multiLevelType w:val="multilevel"/>
    <w:tmpl w:val="181A25E4"/>
    <w:lvl w:ilvl="0">
      <w:start w:val="1"/>
      <w:numFmt w:val="decimal"/>
      <w:lvlText w:val="%1-"/>
      <w:lvlJc w:val="left"/>
      <w:pPr>
        <w:ind w:left="1288" w:hanging="719"/>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C4331A8"/>
    <w:multiLevelType w:val="hybridMultilevel"/>
    <w:tmpl w:val="9260EDB2"/>
    <w:lvl w:ilvl="0" w:tplc="5C14C9CA">
      <w:start w:val="1"/>
      <w:numFmt w:val="decimal"/>
      <w:lvlText w:val="%1."/>
      <w:lvlJc w:val="left"/>
      <w:pPr>
        <w:ind w:left="832" w:hanging="360"/>
      </w:pPr>
      <w:rPr>
        <w:rFonts w:ascii="Calibri" w:eastAsia="Calibri" w:hAnsi="Calibri" w:cs="Calibri" w:hint="default"/>
        <w:w w:val="100"/>
        <w:sz w:val="24"/>
        <w:szCs w:val="24"/>
        <w:lang w:val="it-IT" w:eastAsia="en-US" w:bidi="ar-SA"/>
      </w:rPr>
    </w:lvl>
    <w:lvl w:ilvl="1" w:tplc="076AB8EA">
      <w:numFmt w:val="bullet"/>
      <w:lvlText w:val="•"/>
      <w:lvlJc w:val="left"/>
      <w:pPr>
        <w:ind w:left="1742" w:hanging="360"/>
      </w:pPr>
      <w:rPr>
        <w:lang w:val="it-IT" w:eastAsia="en-US" w:bidi="ar-SA"/>
      </w:rPr>
    </w:lvl>
    <w:lvl w:ilvl="2" w:tplc="72FEE50A">
      <w:numFmt w:val="bullet"/>
      <w:lvlText w:val="•"/>
      <w:lvlJc w:val="left"/>
      <w:pPr>
        <w:ind w:left="2644" w:hanging="360"/>
      </w:pPr>
      <w:rPr>
        <w:lang w:val="it-IT" w:eastAsia="en-US" w:bidi="ar-SA"/>
      </w:rPr>
    </w:lvl>
    <w:lvl w:ilvl="3" w:tplc="70283806">
      <w:numFmt w:val="bullet"/>
      <w:lvlText w:val="•"/>
      <w:lvlJc w:val="left"/>
      <w:pPr>
        <w:ind w:left="3546" w:hanging="360"/>
      </w:pPr>
      <w:rPr>
        <w:lang w:val="it-IT" w:eastAsia="en-US" w:bidi="ar-SA"/>
      </w:rPr>
    </w:lvl>
    <w:lvl w:ilvl="4" w:tplc="A2AE86A8">
      <w:numFmt w:val="bullet"/>
      <w:lvlText w:val="•"/>
      <w:lvlJc w:val="left"/>
      <w:pPr>
        <w:ind w:left="4448" w:hanging="360"/>
      </w:pPr>
      <w:rPr>
        <w:lang w:val="it-IT" w:eastAsia="en-US" w:bidi="ar-SA"/>
      </w:rPr>
    </w:lvl>
    <w:lvl w:ilvl="5" w:tplc="76262C3E">
      <w:numFmt w:val="bullet"/>
      <w:lvlText w:val="•"/>
      <w:lvlJc w:val="left"/>
      <w:pPr>
        <w:ind w:left="5350" w:hanging="360"/>
      </w:pPr>
      <w:rPr>
        <w:lang w:val="it-IT" w:eastAsia="en-US" w:bidi="ar-SA"/>
      </w:rPr>
    </w:lvl>
    <w:lvl w:ilvl="6" w:tplc="A8100968">
      <w:numFmt w:val="bullet"/>
      <w:lvlText w:val="•"/>
      <w:lvlJc w:val="left"/>
      <w:pPr>
        <w:ind w:left="6252" w:hanging="360"/>
      </w:pPr>
      <w:rPr>
        <w:lang w:val="it-IT" w:eastAsia="en-US" w:bidi="ar-SA"/>
      </w:rPr>
    </w:lvl>
    <w:lvl w:ilvl="7" w:tplc="5784DBB2">
      <w:numFmt w:val="bullet"/>
      <w:lvlText w:val="•"/>
      <w:lvlJc w:val="left"/>
      <w:pPr>
        <w:ind w:left="7154" w:hanging="360"/>
      </w:pPr>
      <w:rPr>
        <w:lang w:val="it-IT" w:eastAsia="en-US" w:bidi="ar-SA"/>
      </w:rPr>
    </w:lvl>
    <w:lvl w:ilvl="8" w:tplc="D2CEE090">
      <w:numFmt w:val="bullet"/>
      <w:lvlText w:val="•"/>
      <w:lvlJc w:val="left"/>
      <w:pPr>
        <w:ind w:left="8056" w:hanging="360"/>
      </w:pPr>
      <w:rPr>
        <w:lang w:val="it-IT" w:eastAsia="en-US" w:bidi="ar-SA"/>
      </w:rPr>
    </w:lvl>
  </w:abstractNum>
  <w:abstractNum w:abstractNumId="6" w15:restartNumberingAfterBreak="0">
    <w:nsid w:val="2E430E3D"/>
    <w:multiLevelType w:val="hybridMultilevel"/>
    <w:tmpl w:val="B60C5F62"/>
    <w:lvl w:ilvl="0" w:tplc="CBC28B64">
      <w:start w:val="1"/>
      <w:numFmt w:val="decimal"/>
      <w:lvlText w:val="%1."/>
      <w:lvlJc w:val="left"/>
      <w:pPr>
        <w:ind w:left="832" w:hanging="360"/>
      </w:pPr>
      <w:rPr>
        <w:rFonts w:ascii="Calibri" w:eastAsia="Calibri" w:hAnsi="Calibri" w:cs="Calibri" w:hint="default"/>
        <w:w w:val="100"/>
        <w:sz w:val="24"/>
        <w:szCs w:val="24"/>
        <w:lang w:val="it-IT" w:eastAsia="en-US" w:bidi="ar-SA"/>
      </w:rPr>
    </w:lvl>
    <w:lvl w:ilvl="1" w:tplc="F4C83AB0">
      <w:numFmt w:val="bullet"/>
      <w:lvlText w:val="•"/>
      <w:lvlJc w:val="left"/>
      <w:pPr>
        <w:ind w:left="1742" w:hanging="360"/>
      </w:pPr>
      <w:rPr>
        <w:lang w:val="it-IT" w:eastAsia="en-US" w:bidi="ar-SA"/>
      </w:rPr>
    </w:lvl>
    <w:lvl w:ilvl="2" w:tplc="C2721A2A">
      <w:numFmt w:val="bullet"/>
      <w:lvlText w:val="•"/>
      <w:lvlJc w:val="left"/>
      <w:pPr>
        <w:ind w:left="2644" w:hanging="360"/>
      </w:pPr>
      <w:rPr>
        <w:lang w:val="it-IT" w:eastAsia="en-US" w:bidi="ar-SA"/>
      </w:rPr>
    </w:lvl>
    <w:lvl w:ilvl="3" w:tplc="0DC83342">
      <w:numFmt w:val="bullet"/>
      <w:lvlText w:val="•"/>
      <w:lvlJc w:val="left"/>
      <w:pPr>
        <w:ind w:left="3546" w:hanging="360"/>
      </w:pPr>
      <w:rPr>
        <w:lang w:val="it-IT" w:eastAsia="en-US" w:bidi="ar-SA"/>
      </w:rPr>
    </w:lvl>
    <w:lvl w:ilvl="4" w:tplc="E2264F06">
      <w:numFmt w:val="bullet"/>
      <w:lvlText w:val="•"/>
      <w:lvlJc w:val="left"/>
      <w:pPr>
        <w:ind w:left="4448" w:hanging="360"/>
      </w:pPr>
      <w:rPr>
        <w:lang w:val="it-IT" w:eastAsia="en-US" w:bidi="ar-SA"/>
      </w:rPr>
    </w:lvl>
    <w:lvl w:ilvl="5" w:tplc="20D4EFD2">
      <w:numFmt w:val="bullet"/>
      <w:lvlText w:val="•"/>
      <w:lvlJc w:val="left"/>
      <w:pPr>
        <w:ind w:left="5350" w:hanging="360"/>
      </w:pPr>
      <w:rPr>
        <w:lang w:val="it-IT" w:eastAsia="en-US" w:bidi="ar-SA"/>
      </w:rPr>
    </w:lvl>
    <w:lvl w:ilvl="6" w:tplc="E2AEC7A8">
      <w:numFmt w:val="bullet"/>
      <w:lvlText w:val="•"/>
      <w:lvlJc w:val="left"/>
      <w:pPr>
        <w:ind w:left="6252" w:hanging="360"/>
      </w:pPr>
      <w:rPr>
        <w:lang w:val="it-IT" w:eastAsia="en-US" w:bidi="ar-SA"/>
      </w:rPr>
    </w:lvl>
    <w:lvl w:ilvl="7" w:tplc="EA706642">
      <w:numFmt w:val="bullet"/>
      <w:lvlText w:val="•"/>
      <w:lvlJc w:val="left"/>
      <w:pPr>
        <w:ind w:left="7154" w:hanging="360"/>
      </w:pPr>
      <w:rPr>
        <w:lang w:val="it-IT" w:eastAsia="en-US" w:bidi="ar-SA"/>
      </w:rPr>
    </w:lvl>
    <w:lvl w:ilvl="8" w:tplc="57D2A46C">
      <w:numFmt w:val="bullet"/>
      <w:lvlText w:val="•"/>
      <w:lvlJc w:val="left"/>
      <w:pPr>
        <w:ind w:left="8056" w:hanging="360"/>
      </w:pPr>
      <w:rPr>
        <w:lang w:val="it-IT" w:eastAsia="en-US" w:bidi="ar-SA"/>
      </w:rPr>
    </w:lvl>
  </w:abstractNum>
  <w:abstractNum w:abstractNumId="7" w15:restartNumberingAfterBreak="0">
    <w:nsid w:val="37933794"/>
    <w:multiLevelType w:val="hybridMultilevel"/>
    <w:tmpl w:val="D0607734"/>
    <w:lvl w:ilvl="0" w:tplc="9AC88782">
      <w:start w:val="1"/>
      <w:numFmt w:val="decimal"/>
      <w:lvlText w:val="%1."/>
      <w:lvlJc w:val="left"/>
      <w:pPr>
        <w:ind w:left="832" w:hanging="360"/>
      </w:pPr>
      <w:rPr>
        <w:rFonts w:ascii="Calibri" w:eastAsia="Calibri" w:hAnsi="Calibri" w:cs="Calibri" w:hint="default"/>
        <w:w w:val="100"/>
        <w:sz w:val="24"/>
        <w:szCs w:val="24"/>
        <w:lang w:val="it-IT" w:eastAsia="en-US" w:bidi="ar-SA"/>
      </w:rPr>
    </w:lvl>
    <w:lvl w:ilvl="1" w:tplc="F0208A80">
      <w:numFmt w:val="bullet"/>
      <w:lvlText w:val="•"/>
      <w:lvlJc w:val="left"/>
      <w:pPr>
        <w:ind w:left="1742" w:hanging="360"/>
      </w:pPr>
      <w:rPr>
        <w:lang w:val="it-IT" w:eastAsia="en-US" w:bidi="ar-SA"/>
      </w:rPr>
    </w:lvl>
    <w:lvl w:ilvl="2" w:tplc="CB04F54C">
      <w:numFmt w:val="bullet"/>
      <w:lvlText w:val="•"/>
      <w:lvlJc w:val="left"/>
      <w:pPr>
        <w:ind w:left="2644" w:hanging="360"/>
      </w:pPr>
      <w:rPr>
        <w:lang w:val="it-IT" w:eastAsia="en-US" w:bidi="ar-SA"/>
      </w:rPr>
    </w:lvl>
    <w:lvl w:ilvl="3" w:tplc="E83CD660">
      <w:numFmt w:val="bullet"/>
      <w:lvlText w:val="•"/>
      <w:lvlJc w:val="left"/>
      <w:pPr>
        <w:ind w:left="3546" w:hanging="360"/>
      </w:pPr>
      <w:rPr>
        <w:lang w:val="it-IT" w:eastAsia="en-US" w:bidi="ar-SA"/>
      </w:rPr>
    </w:lvl>
    <w:lvl w:ilvl="4" w:tplc="CC0EEFB6">
      <w:numFmt w:val="bullet"/>
      <w:lvlText w:val="•"/>
      <w:lvlJc w:val="left"/>
      <w:pPr>
        <w:ind w:left="4448" w:hanging="360"/>
      </w:pPr>
      <w:rPr>
        <w:lang w:val="it-IT" w:eastAsia="en-US" w:bidi="ar-SA"/>
      </w:rPr>
    </w:lvl>
    <w:lvl w:ilvl="5" w:tplc="DE5E7EF2">
      <w:numFmt w:val="bullet"/>
      <w:lvlText w:val="•"/>
      <w:lvlJc w:val="left"/>
      <w:pPr>
        <w:ind w:left="5350" w:hanging="360"/>
      </w:pPr>
      <w:rPr>
        <w:lang w:val="it-IT" w:eastAsia="en-US" w:bidi="ar-SA"/>
      </w:rPr>
    </w:lvl>
    <w:lvl w:ilvl="6" w:tplc="9918BCC6">
      <w:numFmt w:val="bullet"/>
      <w:lvlText w:val="•"/>
      <w:lvlJc w:val="left"/>
      <w:pPr>
        <w:ind w:left="6252" w:hanging="360"/>
      </w:pPr>
      <w:rPr>
        <w:lang w:val="it-IT" w:eastAsia="en-US" w:bidi="ar-SA"/>
      </w:rPr>
    </w:lvl>
    <w:lvl w:ilvl="7" w:tplc="92C40232">
      <w:numFmt w:val="bullet"/>
      <w:lvlText w:val="•"/>
      <w:lvlJc w:val="left"/>
      <w:pPr>
        <w:ind w:left="7154" w:hanging="360"/>
      </w:pPr>
      <w:rPr>
        <w:lang w:val="it-IT" w:eastAsia="en-US" w:bidi="ar-SA"/>
      </w:rPr>
    </w:lvl>
    <w:lvl w:ilvl="8" w:tplc="A07C2192">
      <w:numFmt w:val="bullet"/>
      <w:lvlText w:val="•"/>
      <w:lvlJc w:val="left"/>
      <w:pPr>
        <w:ind w:left="8056" w:hanging="360"/>
      </w:pPr>
      <w:rPr>
        <w:lang w:val="it-IT" w:eastAsia="en-US" w:bidi="ar-SA"/>
      </w:rPr>
    </w:lvl>
  </w:abstractNum>
  <w:abstractNum w:abstractNumId="8" w15:restartNumberingAfterBreak="0">
    <w:nsid w:val="3E465567"/>
    <w:multiLevelType w:val="hybridMultilevel"/>
    <w:tmpl w:val="183E40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4D22A7B"/>
    <w:multiLevelType w:val="hybridMultilevel"/>
    <w:tmpl w:val="2514D9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8734CD3"/>
    <w:multiLevelType w:val="hybridMultilevel"/>
    <w:tmpl w:val="2514D9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7763B81"/>
    <w:multiLevelType w:val="hybridMultilevel"/>
    <w:tmpl w:val="E5EAD08A"/>
    <w:lvl w:ilvl="0" w:tplc="EA7E6970">
      <w:start w:val="1"/>
      <w:numFmt w:val="decimal"/>
      <w:lvlText w:val="%1."/>
      <w:lvlJc w:val="left"/>
      <w:pPr>
        <w:ind w:left="832" w:hanging="360"/>
      </w:pPr>
      <w:rPr>
        <w:rFonts w:ascii="Calibri" w:eastAsia="Calibri" w:hAnsi="Calibri" w:cs="Calibri" w:hint="default"/>
        <w:w w:val="100"/>
        <w:sz w:val="24"/>
        <w:szCs w:val="24"/>
        <w:lang w:val="it-IT" w:eastAsia="en-US" w:bidi="ar-SA"/>
      </w:rPr>
    </w:lvl>
    <w:lvl w:ilvl="1" w:tplc="6B480CD0">
      <w:numFmt w:val="bullet"/>
      <w:lvlText w:val="•"/>
      <w:lvlJc w:val="left"/>
      <w:pPr>
        <w:ind w:left="1742" w:hanging="360"/>
      </w:pPr>
      <w:rPr>
        <w:lang w:val="it-IT" w:eastAsia="en-US" w:bidi="ar-SA"/>
      </w:rPr>
    </w:lvl>
    <w:lvl w:ilvl="2" w:tplc="0AC2FBD2">
      <w:numFmt w:val="bullet"/>
      <w:lvlText w:val="•"/>
      <w:lvlJc w:val="left"/>
      <w:pPr>
        <w:ind w:left="2644" w:hanging="360"/>
      </w:pPr>
      <w:rPr>
        <w:lang w:val="it-IT" w:eastAsia="en-US" w:bidi="ar-SA"/>
      </w:rPr>
    </w:lvl>
    <w:lvl w:ilvl="3" w:tplc="6B8E846E">
      <w:numFmt w:val="bullet"/>
      <w:lvlText w:val="•"/>
      <w:lvlJc w:val="left"/>
      <w:pPr>
        <w:ind w:left="3546" w:hanging="360"/>
      </w:pPr>
      <w:rPr>
        <w:lang w:val="it-IT" w:eastAsia="en-US" w:bidi="ar-SA"/>
      </w:rPr>
    </w:lvl>
    <w:lvl w:ilvl="4" w:tplc="0870FADC">
      <w:numFmt w:val="bullet"/>
      <w:lvlText w:val="•"/>
      <w:lvlJc w:val="left"/>
      <w:pPr>
        <w:ind w:left="4448" w:hanging="360"/>
      </w:pPr>
      <w:rPr>
        <w:lang w:val="it-IT" w:eastAsia="en-US" w:bidi="ar-SA"/>
      </w:rPr>
    </w:lvl>
    <w:lvl w:ilvl="5" w:tplc="50D42EA6">
      <w:numFmt w:val="bullet"/>
      <w:lvlText w:val="•"/>
      <w:lvlJc w:val="left"/>
      <w:pPr>
        <w:ind w:left="5350" w:hanging="360"/>
      </w:pPr>
      <w:rPr>
        <w:lang w:val="it-IT" w:eastAsia="en-US" w:bidi="ar-SA"/>
      </w:rPr>
    </w:lvl>
    <w:lvl w:ilvl="6" w:tplc="DD348FAA">
      <w:numFmt w:val="bullet"/>
      <w:lvlText w:val="•"/>
      <w:lvlJc w:val="left"/>
      <w:pPr>
        <w:ind w:left="6252" w:hanging="360"/>
      </w:pPr>
      <w:rPr>
        <w:lang w:val="it-IT" w:eastAsia="en-US" w:bidi="ar-SA"/>
      </w:rPr>
    </w:lvl>
    <w:lvl w:ilvl="7" w:tplc="051AFDF2">
      <w:numFmt w:val="bullet"/>
      <w:lvlText w:val="•"/>
      <w:lvlJc w:val="left"/>
      <w:pPr>
        <w:ind w:left="7154" w:hanging="360"/>
      </w:pPr>
      <w:rPr>
        <w:lang w:val="it-IT" w:eastAsia="en-US" w:bidi="ar-SA"/>
      </w:rPr>
    </w:lvl>
    <w:lvl w:ilvl="8" w:tplc="DC3EDD54">
      <w:numFmt w:val="bullet"/>
      <w:lvlText w:val="•"/>
      <w:lvlJc w:val="left"/>
      <w:pPr>
        <w:ind w:left="8056" w:hanging="360"/>
      </w:pPr>
      <w:rPr>
        <w:lang w:val="it-IT" w:eastAsia="en-US" w:bidi="ar-SA"/>
      </w:rPr>
    </w:lvl>
  </w:abstractNum>
  <w:num w:numId="1">
    <w:abstractNumId w:val="4"/>
  </w:num>
  <w:num w:numId="2">
    <w:abstractNumId w:val="0"/>
  </w:num>
  <w:num w:numId="3">
    <w:abstractNumId w:val="2"/>
  </w:num>
  <w:num w:numId="4">
    <w:abstractNumId w:val="8"/>
  </w:num>
  <w:num w:numId="5">
    <w:abstractNumId w:val="9"/>
  </w:num>
  <w:num w:numId="6">
    <w:abstractNumId w:val="10"/>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BFA"/>
    <w:rsid w:val="0002597D"/>
    <w:rsid w:val="000F2D6E"/>
    <w:rsid w:val="00186424"/>
    <w:rsid w:val="001914D0"/>
    <w:rsid w:val="00196C50"/>
    <w:rsid w:val="001A5B8A"/>
    <w:rsid w:val="001E1E15"/>
    <w:rsid w:val="002558DF"/>
    <w:rsid w:val="00262D33"/>
    <w:rsid w:val="00271FFB"/>
    <w:rsid w:val="0027232B"/>
    <w:rsid w:val="002E3E4E"/>
    <w:rsid w:val="003036C9"/>
    <w:rsid w:val="00327D5D"/>
    <w:rsid w:val="003724A8"/>
    <w:rsid w:val="00381939"/>
    <w:rsid w:val="003D54CB"/>
    <w:rsid w:val="004A6307"/>
    <w:rsid w:val="005775B8"/>
    <w:rsid w:val="00577F8C"/>
    <w:rsid w:val="0059033C"/>
    <w:rsid w:val="005C1D8F"/>
    <w:rsid w:val="00603027"/>
    <w:rsid w:val="006B37C2"/>
    <w:rsid w:val="006B4BE2"/>
    <w:rsid w:val="006E6EBD"/>
    <w:rsid w:val="00714D63"/>
    <w:rsid w:val="00784E08"/>
    <w:rsid w:val="007C641A"/>
    <w:rsid w:val="00806999"/>
    <w:rsid w:val="008C68BB"/>
    <w:rsid w:val="008D4850"/>
    <w:rsid w:val="00992A29"/>
    <w:rsid w:val="009C4204"/>
    <w:rsid w:val="00A032A7"/>
    <w:rsid w:val="00A2108E"/>
    <w:rsid w:val="00AB0844"/>
    <w:rsid w:val="00AC2BFA"/>
    <w:rsid w:val="00AD68B4"/>
    <w:rsid w:val="00AF65A9"/>
    <w:rsid w:val="00B03D30"/>
    <w:rsid w:val="00B44E3E"/>
    <w:rsid w:val="00B520EE"/>
    <w:rsid w:val="00B92B5D"/>
    <w:rsid w:val="00C871B1"/>
    <w:rsid w:val="00CA7D0C"/>
    <w:rsid w:val="00CC7AE5"/>
    <w:rsid w:val="00D10C28"/>
    <w:rsid w:val="00D23385"/>
    <w:rsid w:val="00D33E56"/>
    <w:rsid w:val="00D6210B"/>
    <w:rsid w:val="00D72392"/>
    <w:rsid w:val="00D85BD4"/>
    <w:rsid w:val="00DE55A1"/>
    <w:rsid w:val="00DF27D3"/>
    <w:rsid w:val="00E151B4"/>
    <w:rsid w:val="00E4474A"/>
    <w:rsid w:val="00E71A44"/>
    <w:rsid w:val="00E967CE"/>
    <w:rsid w:val="00ED4714"/>
    <w:rsid w:val="00F054DB"/>
    <w:rsid w:val="00F65D94"/>
    <w:rsid w:val="00FD5C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0059F"/>
  <w15:docId w15:val="{777FD6F8-C11C-471D-8173-B3FF5329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62626"/>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C98"/>
    <w:rPr>
      <w:color w:val="262626" w:themeColor="text1" w:themeTint="D9"/>
    </w:rPr>
  </w:style>
  <w:style w:type="paragraph" w:styleId="Heading1">
    <w:name w:val="heading 1"/>
    <w:basedOn w:val="Normal"/>
    <w:next w:val="Normal"/>
    <w:link w:val="Heading1Char"/>
    <w:uiPriority w:val="9"/>
    <w:qFormat/>
    <w:rsid w:val="00960C98"/>
    <w:pPr>
      <w:keepNext/>
      <w:keepLines/>
      <w:spacing w:before="240"/>
      <w:outlineLvl w:val="0"/>
    </w:pPr>
    <w:rPr>
      <w:rFonts w:ascii="Century Gothic" w:eastAsiaTheme="majorEastAsia" w:hAnsi="Century Gothic" w:cstheme="majorBidi"/>
      <w:color w:val="E01528"/>
      <w:sz w:val="32"/>
      <w:szCs w:val="32"/>
    </w:rPr>
  </w:style>
  <w:style w:type="paragraph" w:styleId="Heading2">
    <w:name w:val="heading 2"/>
    <w:basedOn w:val="Normal"/>
    <w:link w:val="Heading2Char"/>
    <w:uiPriority w:val="9"/>
    <w:unhideWhenUsed/>
    <w:qFormat/>
    <w:rsid w:val="00960C98"/>
    <w:pPr>
      <w:keepNext/>
      <w:keepLines/>
      <w:pBdr>
        <w:top w:val="single" w:sz="4" w:space="1" w:color="A5A5A5" w:themeColor="accent3"/>
      </w:pBdr>
      <w:spacing w:before="360" w:after="160"/>
      <w:ind w:left="72"/>
      <w:contextualSpacing/>
      <w:outlineLvl w:val="1"/>
    </w:pPr>
    <w:rPr>
      <w:rFonts w:asciiTheme="majorHAnsi" w:eastAsiaTheme="majorEastAsia" w:hAnsiTheme="majorHAnsi" w:cstheme="majorBidi"/>
      <w:bCs/>
      <w:color w:val="E01528"/>
      <w:spacing w:val="15"/>
      <w:sz w:val="28"/>
      <w:szCs w:val="21"/>
      <w:lang w:eastAsia="ja-JP"/>
    </w:rPr>
  </w:style>
  <w:style w:type="paragraph" w:styleId="Heading3">
    <w:name w:val="heading 3"/>
    <w:basedOn w:val="Normal"/>
    <w:next w:val="Normal"/>
    <w:link w:val="Heading3Char"/>
    <w:uiPriority w:val="9"/>
    <w:semiHidden/>
    <w:unhideWhenUsed/>
    <w:qFormat/>
    <w:rsid w:val="003254E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254E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254E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254E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uiPriority w:val="10"/>
    <w:qFormat/>
    <w:rsid w:val="002F3385"/>
    <w:pPr>
      <w:spacing w:before="120" w:after="40"/>
      <w:ind w:left="72"/>
      <w:contextualSpacing/>
    </w:pPr>
    <w:rPr>
      <w:rFonts w:ascii="Century Gothic" w:eastAsiaTheme="majorEastAsia" w:hAnsi="Century Gothic" w:cstheme="majorBidi"/>
      <w:color w:val="E01528"/>
      <w:sz w:val="40"/>
      <w:szCs w:val="50"/>
      <w:lang w:eastAsia="ja-JP"/>
    </w:rPr>
  </w:style>
  <w:style w:type="table" w:styleId="TableGrid">
    <w:name w:val="Table Grid"/>
    <w:basedOn w:val="TableNormal"/>
    <w:uiPriority w:val="39"/>
    <w:rsid w:val="002F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
    <w:rsid w:val="002F3385"/>
    <w:rPr>
      <w:rFonts w:ascii="Century Gothic" w:eastAsiaTheme="majorEastAsia" w:hAnsi="Century Gothic" w:cstheme="majorBidi"/>
      <w:color w:val="E01528"/>
      <w:sz w:val="40"/>
      <w:szCs w:val="50"/>
      <w:lang w:val="it-IT" w:eastAsia="ja-JP"/>
    </w:rPr>
  </w:style>
  <w:style w:type="character" w:customStyle="1" w:styleId="Heading2Char">
    <w:name w:val="Heading 2 Char"/>
    <w:basedOn w:val="DefaultParagraphFont"/>
    <w:link w:val="Heading2"/>
    <w:uiPriority w:val="9"/>
    <w:rsid w:val="00960C98"/>
    <w:rPr>
      <w:rFonts w:asciiTheme="majorHAnsi" w:eastAsiaTheme="majorEastAsia" w:hAnsiTheme="majorHAnsi" w:cstheme="majorBidi"/>
      <w:bCs/>
      <w:color w:val="E01528"/>
      <w:spacing w:val="15"/>
      <w:sz w:val="28"/>
      <w:szCs w:val="21"/>
      <w:lang w:val="it-IT" w:eastAsia="ja-JP"/>
    </w:rPr>
  </w:style>
  <w:style w:type="character" w:styleId="SubtleReference">
    <w:name w:val="Subtle Reference"/>
    <w:basedOn w:val="DefaultParagraphFont"/>
    <w:uiPriority w:val="2"/>
    <w:qFormat/>
    <w:rsid w:val="002F3385"/>
    <w:rPr>
      <w:rFonts w:ascii="Century Gothic" w:hAnsi="Century Gothic"/>
      <w:b w:val="0"/>
      <w:i w:val="0"/>
      <w:caps/>
      <w:smallCaps w:val="0"/>
      <w:color w:val="E01528"/>
      <w:sz w:val="32"/>
    </w:rPr>
  </w:style>
  <w:style w:type="character" w:customStyle="1" w:styleId="Heading1Char">
    <w:name w:val="Heading 1 Char"/>
    <w:basedOn w:val="DefaultParagraphFont"/>
    <w:link w:val="Heading1"/>
    <w:uiPriority w:val="9"/>
    <w:rsid w:val="00960C98"/>
    <w:rPr>
      <w:rFonts w:ascii="Century Gothic" w:eastAsiaTheme="majorEastAsia" w:hAnsi="Century Gothic" w:cstheme="majorBidi"/>
      <w:color w:val="E01528"/>
      <w:sz w:val="32"/>
      <w:szCs w:val="32"/>
    </w:rPr>
  </w:style>
  <w:style w:type="paragraph" w:styleId="ListParagraph">
    <w:name w:val="List Paragraph"/>
    <w:basedOn w:val="Normal"/>
    <w:uiPriority w:val="34"/>
    <w:unhideWhenUsed/>
    <w:qFormat/>
    <w:rsid w:val="003254EB"/>
    <w:pPr>
      <w:spacing w:before="120" w:after="40"/>
      <w:ind w:left="720"/>
      <w:contextualSpacing/>
    </w:pPr>
    <w:rPr>
      <w:color w:val="auto"/>
      <w:spacing w:val="4"/>
      <w:sz w:val="22"/>
      <w:szCs w:val="22"/>
    </w:rPr>
  </w:style>
  <w:style w:type="character" w:customStyle="1" w:styleId="Heading3Char">
    <w:name w:val="Heading 3 Char"/>
    <w:basedOn w:val="DefaultParagraphFont"/>
    <w:link w:val="Heading3"/>
    <w:uiPriority w:val="9"/>
    <w:rsid w:val="003254E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254E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254E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3254EB"/>
    <w:rPr>
      <w:rFonts w:asciiTheme="majorHAnsi" w:eastAsiaTheme="majorEastAsia" w:hAnsiTheme="majorHAnsi" w:cstheme="majorBidi"/>
      <w:color w:val="1F3763" w:themeColor="accent1" w:themeShade="7F"/>
    </w:rPr>
  </w:style>
  <w:style w:type="paragraph" w:styleId="NoSpacing">
    <w:name w:val="No Spacing"/>
    <w:uiPriority w:val="1"/>
    <w:qFormat/>
    <w:rsid w:val="003254EB"/>
    <w:rPr>
      <w:color w:val="262626" w:themeColor="text1" w:themeTint="D9"/>
    </w:rPr>
  </w:style>
  <w:style w:type="paragraph" w:customStyle="1" w:styleId="Style1">
    <w:name w:val="Style1"/>
    <w:basedOn w:val="Normal"/>
    <w:qFormat/>
    <w:rsid w:val="002E5740"/>
    <w:rPr>
      <w:rFonts w:ascii="Century Gothic" w:hAnsi="Century Gothic"/>
    </w:rPr>
  </w:style>
  <w:style w:type="character" w:styleId="Hyperlink">
    <w:name w:val="Hyperlink"/>
    <w:basedOn w:val="DefaultParagraphFont"/>
    <w:uiPriority w:val="99"/>
    <w:unhideWhenUsed/>
    <w:rsid w:val="00940A92"/>
    <w:rPr>
      <w:color w:val="0563C1" w:themeColor="hyperlink"/>
      <w:u w:val="single"/>
    </w:rPr>
  </w:style>
  <w:style w:type="character" w:styleId="FollowedHyperlink">
    <w:name w:val="FollowedHyperlink"/>
    <w:basedOn w:val="DefaultParagraphFont"/>
    <w:uiPriority w:val="99"/>
    <w:semiHidden/>
    <w:unhideWhenUsed/>
    <w:rsid w:val="00940A92"/>
    <w:rPr>
      <w:color w:val="954F72" w:themeColor="followedHyperlink"/>
      <w:u w:val="single"/>
    </w:rPr>
  </w:style>
  <w:style w:type="paragraph" w:styleId="Footer">
    <w:name w:val="footer"/>
    <w:basedOn w:val="Normal"/>
    <w:link w:val="FooterChar"/>
    <w:uiPriority w:val="99"/>
    <w:unhideWhenUsed/>
    <w:rsid w:val="00FB2C21"/>
    <w:pPr>
      <w:tabs>
        <w:tab w:val="center" w:pos="4513"/>
        <w:tab w:val="right" w:pos="9026"/>
      </w:tabs>
    </w:pPr>
  </w:style>
  <w:style w:type="character" w:customStyle="1" w:styleId="FooterChar">
    <w:name w:val="Footer Char"/>
    <w:basedOn w:val="DefaultParagraphFont"/>
    <w:link w:val="Footer"/>
    <w:uiPriority w:val="99"/>
    <w:rsid w:val="00FB2C21"/>
    <w:rPr>
      <w:color w:val="262626" w:themeColor="text1" w:themeTint="D9"/>
    </w:rPr>
  </w:style>
  <w:style w:type="character" w:styleId="PageNumber">
    <w:name w:val="page number"/>
    <w:basedOn w:val="DefaultParagraphFont"/>
    <w:uiPriority w:val="99"/>
    <w:semiHidden/>
    <w:unhideWhenUsed/>
    <w:rsid w:val="00FB2C2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871835">
      <w:bodyDiv w:val="1"/>
      <w:marLeft w:val="0"/>
      <w:marRight w:val="0"/>
      <w:marTop w:val="0"/>
      <w:marBottom w:val="0"/>
      <w:divBdr>
        <w:top w:val="none" w:sz="0" w:space="0" w:color="auto"/>
        <w:left w:val="none" w:sz="0" w:space="0" w:color="auto"/>
        <w:bottom w:val="none" w:sz="0" w:space="0" w:color="auto"/>
        <w:right w:val="none" w:sz="0" w:space="0" w:color="auto"/>
      </w:divBdr>
    </w:div>
    <w:div w:id="1624728180">
      <w:bodyDiv w:val="1"/>
      <w:marLeft w:val="0"/>
      <w:marRight w:val="0"/>
      <w:marTop w:val="0"/>
      <w:marBottom w:val="0"/>
      <w:divBdr>
        <w:top w:val="none" w:sz="0" w:space="0" w:color="auto"/>
        <w:left w:val="none" w:sz="0" w:space="0" w:color="auto"/>
        <w:bottom w:val="none" w:sz="0" w:space="0" w:color="auto"/>
        <w:right w:val="none" w:sz="0" w:space="0" w:color="auto"/>
      </w:divBdr>
    </w:div>
    <w:div w:id="1691835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zKH17I6V8bVy6abkPhnWsynpA==">AMUW2mWCMLQNCnb/Vd33zGSv6IWRht1AjOz1f/8GAOB/Yb7D9PdnTOmfqGqxI6S1YKy1mXkbLcUhwEeQF1XrG3h+BWYLNsM1u1YBBPk2SOD+fpm3PZ78SZs=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736</Words>
  <Characters>4201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ISPRA</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Saraò</dc:creator>
  <cp:lastModifiedBy>Angela Saraò</cp:lastModifiedBy>
  <cp:revision>7</cp:revision>
  <cp:lastPrinted>2022-11-08T16:37:00Z</cp:lastPrinted>
  <dcterms:created xsi:type="dcterms:W3CDTF">2022-11-08T17:35:00Z</dcterms:created>
  <dcterms:modified xsi:type="dcterms:W3CDTF">2022-11-12T23:51:00Z</dcterms:modified>
</cp:coreProperties>
</file>