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3FD1" w14:textId="77777777" w:rsidR="00AC2BFA" w:rsidRDefault="00AC2BF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3686"/>
        <w:gridCol w:w="5340"/>
      </w:tblGrid>
      <w:tr w:rsidR="00AC2BFA" w14:paraId="2D3F32FD" w14:textId="77777777">
        <w:tc>
          <w:tcPr>
            <w:tcW w:w="3686" w:type="dxa"/>
          </w:tcPr>
          <w:p w14:paraId="2F40198E" w14:textId="2BBDD5A1" w:rsidR="00AC2BFA" w:rsidRDefault="00540C04">
            <w:r>
              <w:rPr>
                <w:noProof/>
              </w:rPr>
              <w:drawing>
                <wp:inline distT="0" distB="0" distL="0" distR="0" wp14:anchorId="2CB94C31" wp14:editId="5BACD14F">
                  <wp:extent cx="2308122" cy="1256972"/>
                  <wp:effectExtent l="0" t="0" r="381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245" cy="1277733"/>
                          </a:xfrm>
                          <a:prstGeom prst="rect">
                            <a:avLst/>
                          </a:prstGeom>
                        </pic:spPr>
                      </pic:pic>
                    </a:graphicData>
                  </a:graphic>
                </wp:inline>
              </w:drawing>
            </w:r>
          </w:p>
        </w:tc>
        <w:tc>
          <w:tcPr>
            <w:tcW w:w="5340" w:type="dxa"/>
          </w:tcPr>
          <w:p w14:paraId="49213440" w14:textId="77777777" w:rsidR="00AC2BFA" w:rsidRDefault="005C1D8F">
            <w:pPr>
              <w:pStyle w:val="Title"/>
              <w:spacing w:after="0"/>
              <w:ind w:firstLine="72"/>
            </w:pPr>
            <w:r>
              <w:t xml:space="preserve"> </w:t>
            </w:r>
          </w:p>
          <w:p w14:paraId="19DE6906" w14:textId="604E48C0" w:rsidR="00AC2BFA" w:rsidRDefault="00391FD8">
            <w:pPr>
              <w:pStyle w:val="Title"/>
              <w:spacing w:before="0"/>
              <w:ind w:firstLine="72"/>
            </w:pPr>
            <w:r>
              <w:t>S</w:t>
            </w:r>
            <w:r w:rsidR="00540C04">
              <w:t>intesi</w:t>
            </w:r>
            <w:r>
              <w:t xml:space="preserve"> </w:t>
            </w:r>
            <w:r w:rsidR="00540C04">
              <w:t>r</w:t>
            </w:r>
            <w:r w:rsidR="005C1D8F">
              <w:t xml:space="preserve">iunione </w:t>
            </w:r>
            <w:r w:rsidR="00E151B4">
              <w:t>4</w:t>
            </w:r>
            <w:r w:rsidR="005C1D8F">
              <w:t xml:space="preserve"> </w:t>
            </w:r>
          </w:p>
          <w:p w14:paraId="046FC2A1" w14:textId="241278C5" w:rsidR="00AC2BFA" w:rsidRDefault="00E967CE">
            <w:pPr>
              <w:pStyle w:val="Heading2"/>
              <w:ind w:firstLine="72"/>
            </w:pPr>
            <w:r>
              <w:rPr>
                <w:rFonts w:ascii="Calibri" w:eastAsia="Calibri" w:hAnsi="Calibri" w:cs="Calibri"/>
                <w:szCs w:val="28"/>
              </w:rPr>
              <w:t>2</w:t>
            </w:r>
            <w:r w:rsidR="005C1D8F">
              <w:rPr>
                <w:rFonts w:ascii="Calibri" w:eastAsia="Calibri" w:hAnsi="Calibri" w:cs="Calibri"/>
                <w:szCs w:val="28"/>
              </w:rPr>
              <w:t xml:space="preserve"> </w:t>
            </w:r>
            <w:r>
              <w:rPr>
                <w:rFonts w:ascii="Calibri" w:eastAsia="Calibri" w:hAnsi="Calibri" w:cs="Calibri"/>
                <w:szCs w:val="28"/>
              </w:rPr>
              <w:t>Marzo</w:t>
            </w:r>
            <w:r w:rsidR="00ED4714">
              <w:rPr>
                <w:rFonts w:ascii="Calibri" w:eastAsia="Calibri" w:hAnsi="Calibri" w:cs="Calibri"/>
                <w:szCs w:val="28"/>
              </w:rPr>
              <w:t xml:space="preserve"> 2022</w:t>
            </w:r>
            <w:r w:rsidR="005C1D8F">
              <w:rPr>
                <w:rFonts w:ascii="Calibri" w:eastAsia="Calibri" w:hAnsi="Calibri" w:cs="Calibri"/>
                <w:szCs w:val="28"/>
              </w:rPr>
              <w:t xml:space="preserve"> | 11:00</w:t>
            </w:r>
            <w:r w:rsidR="005C1D8F">
              <w:t xml:space="preserve"> |</w:t>
            </w:r>
            <w:r w:rsidR="005C1D8F">
              <w:rPr>
                <w:rFonts w:ascii="Calibri" w:eastAsia="Calibri" w:hAnsi="Calibri" w:cs="Calibri"/>
                <w:szCs w:val="28"/>
              </w:rPr>
              <w:t xml:space="preserve"> online</w:t>
            </w:r>
          </w:p>
          <w:p w14:paraId="4E8A5DD9" w14:textId="77777777" w:rsidR="00AC2BFA" w:rsidRDefault="00AC2BFA"/>
        </w:tc>
      </w:tr>
    </w:tbl>
    <w:p w14:paraId="6C93CFA0" w14:textId="77777777" w:rsidR="00AC2BFA" w:rsidRDefault="005C1D8F">
      <w:pPr>
        <w:pStyle w:val="Heading1"/>
        <w:rPr>
          <w:rFonts w:eastAsia="Century Gothic" w:cs="Century Gothic"/>
          <w:sz w:val="28"/>
          <w:szCs w:val="28"/>
        </w:rPr>
      </w:pPr>
      <w:r>
        <w:rPr>
          <w:rFonts w:eastAsia="Century Gothic" w:cs="Century Gothic"/>
          <w:sz w:val="28"/>
          <w:szCs w:val="28"/>
        </w:rPr>
        <w:t xml:space="preserve">PARTECIPANTI </w:t>
      </w:r>
    </w:p>
    <w:tbl>
      <w:tblPr>
        <w:tblStyle w:val="a0"/>
        <w:tblW w:w="9015" w:type="dxa"/>
        <w:tblBorders>
          <w:top w:val="nil"/>
          <w:left w:val="nil"/>
          <w:bottom w:val="nil"/>
          <w:right w:val="nil"/>
          <w:insideH w:val="nil"/>
          <w:insideV w:val="nil"/>
        </w:tblBorders>
        <w:tblLayout w:type="fixed"/>
        <w:tblLook w:val="0400" w:firstRow="0" w:lastRow="0" w:firstColumn="0" w:lastColumn="0" w:noHBand="0" w:noVBand="1"/>
      </w:tblPr>
      <w:tblGrid>
        <w:gridCol w:w="4020"/>
        <w:gridCol w:w="4995"/>
      </w:tblGrid>
      <w:tr w:rsidR="00E967CE" w14:paraId="4E38EEEA" w14:textId="77777777">
        <w:tc>
          <w:tcPr>
            <w:tcW w:w="4020" w:type="dxa"/>
            <w:vAlign w:val="center"/>
          </w:tcPr>
          <w:p w14:paraId="7D912468" w14:textId="77777777" w:rsidR="00E967CE" w:rsidRDefault="00E967CE" w:rsidP="00E967CE">
            <w:pPr>
              <w:pStyle w:val="Heading1"/>
              <w:ind w:left="-100"/>
              <w:rPr>
                <w:sz w:val="24"/>
                <w:szCs w:val="24"/>
              </w:rPr>
            </w:pPr>
            <w:r>
              <w:rPr>
                <w:sz w:val="24"/>
                <w:szCs w:val="24"/>
              </w:rPr>
              <w:t xml:space="preserve">Membri del </w:t>
            </w:r>
            <w:proofErr w:type="spellStart"/>
            <w:r>
              <w:rPr>
                <w:sz w:val="24"/>
                <w:szCs w:val="24"/>
              </w:rPr>
              <w:t>GdL</w:t>
            </w:r>
            <w:proofErr w:type="spellEnd"/>
          </w:p>
        </w:tc>
        <w:tc>
          <w:tcPr>
            <w:tcW w:w="4995" w:type="dxa"/>
          </w:tcPr>
          <w:p w14:paraId="442EB094" w14:textId="48DA4701" w:rsidR="00E967CE" w:rsidRDefault="00E967CE" w:rsidP="00E967CE">
            <w:pPr>
              <w:spacing w:after="160"/>
            </w:pPr>
            <w:r w:rsidRPr="00E967CE">
              <w:rPr>
                <w:highlight w:val="white"/>
              </w:rPr>
              <w:t>Presenti: Stefano Bianco (INFN), Anna Grazia Chiodetti (INGV), Mario Locati (INGV) Giovanni De Simone (CNR), Roberto Barbera (INFN), Laura Casella</w:t>
            </w:r>
            <w:r w:rsidR="00D7431A">
              <w:rPr>
                <w:highlight w:val="white"/>
              </w:rPr>
              <w:t xml:space="preserve"> </w:t>
            </w:r>
            <w:r w:rsidRPr="00E967CE">
              <w:rPr>
                <w:highlight w:val="white"/>
              </w:rPr>
              <w:t xml:space="preserve">(ISPRA), Roberta </w:t>
            </w:r>
            <w:proofErr w:type="spellStart"/>
            <w:r w:rsidRPr="00E967CE">
              <w:rPr>
                <w:highlight w:val="white"/>
              </w:rPr>
              <w:t>Vigni</w:t>
            </w:r>
            <w:proofErr w:type="spellEnd"/>
            <w:r w:rsidRPr="00E967CE">
              <w:rPr>
                <w:highlight w:val="white"/>
              </w:rPr>
              <w:t xml:space="preserve"> (ISPRA), Angela Saraò (OGS), Alessandra </w:t>
            </w:r>
            <w:proofErr w:type="spellStart"/>
            <w:r w:rsidRPr="00E967CE">
              <w:rPr>
                <w:highlight w:val="white"/>
              </w:rPr>
              <w:t>Giorgetti</w:t>
            </w:r>
            <w:proofErr w:type="spellEnd"/>
            <w:r w:rsidRPr="00E967CE">
              <w:rPr>
                <w:highlight w:val="white"/>
              </w:rPr>
              <w:t xml:space="preserve"> (OGS), Emanuela Secinaro (INRIM), Marco Pallavicini (GE INFN)</w:t>
            </w:r>
          </w:p>
        </w:tc>
      </w:tr>
      <w:tr w:rsidR="00391FD8" w14:paraId="0B4103A1" w14:textId="77777777" w:rsidTr="00FE1FC5">
        <w:trPr>
          <w:trHeight w:val="257"/>
        </w:trPr>
        <w:tc>
          <w:tcPr>
            <w:tcW w:w="4020" w:type="dxa"/>
            <w:vAlign w:val="center"/>
          </w:tcPr>
          <w:p w14:paraId="0C4C9F96" w14:textId="77777777" w:rsidR="00391FD8" w:rsidRDefault="00391FD8" w:rsidP="00FE1FC5">
            <w:pPr>
              <w:pStyle w:val="Heading1"/>
              <w:spacing w:before="0"/>
              <w:ind w:left="-100"/>
              <w:rPr>
                <w:sz w:val="24"/>
                <w:szCs w:val="24"/>
              </w:rPr>
            </w:pPr>
            <w:r>
              <w:rPr>
                <w:sz w:val="24"/>
                <w:szCs w:val="24"/>
              </w:rPr>
              <w:t>Coordinatore</w:t>
            </w:r>
          </w:p>
        </w:tc>
        <w:tc>
          <w:tcPr>
            <w:tcW w:w="4995" w:type="dxa"/>
          </w:tcPr>
          <w:p w14:paraId="7292F800" w14:textId="77777777" w:rsidR="00391FD8" w:rsidRPr="005C1D8F" w:rsidRDefault="00391FD8" w:rsidP="00FE1FC5">
            <w:pPr>
              <w:spacing w:after="160"/>
            </w:pPr>
            <w:r w:rsidRPr="005C1D8F">
              <w:t>Stefano Bianco </w:t>
            </w:r>
          </w:p>
        </w:tc>
      </w:tr>
      <w:tr w:rsidR="00391FD8" w14:paraId="2E89020F" w14:textId="77777777" w:rsidTr="00FE1FC5">
        <w:trPr>
          <w:trHeight w:val="257"/>
        </w:trPr>
        <w:tc>
          <w:tcPr>
            <w:tcW w:w="4020" w:type="dxa"/>
            <w:vAlign w:val="center"/>
          </w:tcPr>
          <w:p w14:paraId="5834EC29" w14:textId="4C8D447B" w:rsidR="00391FD8" w:rsidRDefault="00540C04" w:rsidP="00FE1FC5">
            <w:pPr>
              <w:pStyle w:val="Heading1"/>
              <w:spacing w:before="0"/>
              <w:ind w:left="-100"/>
              <w:rPr>
                <w:sz w:val="24"/>
                <w:szCs w:val="24"/>
              </w:rPr>
            </w:pPr>
            <w:r>
              <w:rPr>
                <w:sz w:val="24"/>
                <w:szCs w:val="24"/>
              </w:rPr>
              <w:t>Sintesi a cura di</w:t>
            </w:r>
          </w:p>
        </w:tc>
        <w:tc>
          <w:tcPr>
            <w:tcW w:w="4995" w:type="dxa"/>
          </w:tcPr>
          <w:p w14:paraId="0154D556" w14:textId="77777777" w:rsidR="00391FD8" w:rsidRPr="005C1D8F" w:rsidRDefault="00391FD8" w:rsidP="00FE1FC5">
            <w:pPr>
              <w:spacing w:after="160"/>
            </w:pPr>
            <w:r>
              <w:t>Anna Grazia Chiodetti; Roberta Vigni.</w:t>
            </w:r>
          </w:p>
        </w:tc>
      </w:tr>
    </w:tbl>
    <w:p w14:paraId="64391C3E" w14:textId="77777777" w:rsidR="00AC2BFA" w:rsidRDefault="00AC2BFA">
      <w:pPr>
        <w:pStyle w:val="Heading2"/>
        <w:spacing w:before="80" w:after="80"/>
        <w:ind w:left="0"/>
      </w:pPr>
    </w:p>
    <w:p w14:paraId="5F59234D" w14:textId="35C4869C" w:rsidR="001A50BF" w:rsidRPr="001A50BF" w:rsidRDefault="005C1D8F" w:rsidP="001A50BF">
      <w:pPr>
        <w:pStyle w:val="Heading1"/>
        <w:spacing w:before="0" w:after="80"/>
        <w:rPr>
          <w:smallCaps/>
          <w:sz w:val="28"/>
          <w:szCs w:val="28"/>
        </w:rPr>
      </w:pPr>
      <w:r>
        <w:rPr>
          <w:rFonts w:eastAsia="Century Gothic" w:cs="Century Gothic"/>
          <w:sz w:val="28"/>
          <w:szCs w:val="28"/>
        </w:rPr>
        <w:t>Argomenti dell’agenda</w:t>
      </w:r>
    </w:p>
    <w:p w14:paraId="79AC2BBE" w14:textId="77777777" w:rsidR="001A50BF" w:rsidRDefault="001A50BF" w:rsidP="001A50BF">
      <w:pPr>
        <w:numPr>
          <w:ilvl w:val="0"/>
          <w:numId w:val="7"/>
        </w:numPr>
        <w:spacing w:line="216" w:lineRule="auto"/>
        <w:ind w:left="1080"/>
        <w:contextualSpacing/>
        <w:rPr>
          <w:rFonts w:eastAsia="Times New Roman"/>
          <w:color w:val="auto"/>
        </w:rPr>
      </w:pPr>
      <w:r>
        <w:rPr>
          <w:rFonts w:eastAsia="Times New Roman"/>
          <w:color w:val="auto"/>
        </w:rPr>
        <w:t xml:space="preserve">Introduzione e aggiornamenti </w:t>
      </w:r>
    </w:p>
    <w:p w14:paraId="5D171201" w14:textId="77777777" w:rsidR="001A50BF" w:rsidRDefault="001A50BF" w:rsidP="001A50BF">
      <w:pPr>
        <w:numPr>
          <w:ilvl w:val="0"/>
          <w:numId w:val="7"/>
        </w:numPr>
        <w:spacing w:line="216" w:lineRule="auto"/>
        <w:ind w:left="1080"/>
        <w:contextualSpacing/>
        <w:rPr>
          <w:rFonts w:eastAsia="Times New Roman"/>
          <w:color w:val="auto"/>
        </w:rPr>
      </w:pPr>
      <w:bookmarkStart w:id="0" w:name="_Hlk118812572"/>
      <w:r w:rsidRPr="00D703C2">
        <w:rPr>
          <w:rFonts w:eastAsia="Times New Roman"/>
          <w:color w:val="auto"/>
        </w:rPr>
        <w:t>Contatto con la Conferenza permanente dei Direttori Generali degli Enti Pubblici di Ricerca italiani (CODIGER)</w:t>
      </w:r>
    </w:p>
    <w:bookmarkEnd w:id="0"/>
    <w:p w14:paraId="591AA57A" w14:textId="376A75BF" w:rsidR="001A50BF" w:rsidRPr="00D703C2" w:rsidRDefault="001A50BF" w:rsidP="001A50BF">
      <w:pPr>
        <w:numPr>
          <w:ilvl w:val="0"/>
          <w:numId w:val="7"/>
        </w:numPr>
        <w:spacing w:line="216" w:lineRule="auto"/>
        <w:ind w:left="1080"/>
        <w:contextualSpacing/>
        <w:rPr>
          <w:rFonts w:eastAsia="Times New Roman"/>
          <w:color w:val="auto"/>
          <w:lang w:val="en-US"/>
        </w:rPr>
      </w:pPr>
      <w:r>
        <w:rPr>
          <w:rFonts w:eastAsia="Times New Roman"/>
          <w:color w:val="auto"/>
          <w:lang w:val="en-US"/>
        </w:rPr>
        <w:t>Task force open-APC</w:t>
      </w:r>
      <w:r w:rsidR="00A738C5">
        <w:rPr>
          <w:rFonts w:eastAsia="Times New Roman"/>
          <w:color w:val="auto"/>
          <w:lang w:val="en-US"/>
        </w:rPr>
        <w:t xml:space="preserve"> e Task force </w:t>
      </w:r>
      <w:proofErr w:type="spellStart"/>
      <w:r w:rsidR="00A738C5">
        <w:rPr>
          <w:rFonts w:eastAsia="Times New Roman"/>
          <w:color w:val="auto"/>
          <w:lang w:val="en-US"/>
        </w:rPr>
        <w:t>sondaggio</w:t>
      </w:r>
      <w:proofErr w:type="spellEnd"/>
      <w:r w:rsidR="00A738C5">
        <w:rPr>
          <w:rFonts w:eastAsia="Times New Roman"/>
          <w:color w:val="auto"/>
          <w:lang w:val="en-US"/>
        </w:rPr>
        <w:t xml:space="preserve"> EPR</w:t>
      </w:r>
    </w:p>
    <w:p w14:paraId="0A33F4C2" w14:textId="7611542E" w:rsidR="00A738C5" w:rsidRDefault="00A738C5" w:rsidP="001A50BF">
      <w:pPr>
        <w:numPr>
          <w:ilvl w:val="0"/>
          <w:numId w:val="7"/>
        </w:numPr>
        <w:spacing w:line="216" w:lineRule="auto"/>
        <w:ind w:left="1080"/>
        <w:contextualSpacing/>
        <w:rPr>
          <w:rFonts w:eastAsia="Times New Roman"/>
          <w:color w:val="auto"/>
        </w:rPr>
      </w:pPr>
      <w:proofErr w:type="spellStart"/>
      <w:r>
        <w:rPr>
          <w:rFonts w:eastAsia="Times New Roman"/>
          <w:color w:val="auto"/>
          <w:lang w:val="en-US"/>
        </w:rPr>
        <w:t>Discussione</w:t>
      </w:r>
      <w:proofErr w:type="spellEnd"/>
      <w:r>
        <w:rPr>
          <w:rFonts w:eastAsia="Times New Roman"/>
          <w:color w:val="auto"/>
          <w:lang w:val="en-US"/>
        </w:rPr>
        <w:t xml:space="preserve"> e </w:t>
      </w:r>
      <w:proofErr w:type="spellStart"/>
      <w:r>
        <w:rPr>
          <w:rFonts w:eastAsia="Times New Roman"/>
          <w:color w:val="auto"/>
          <w:lang w:val="en-US"/>
        </w:rPr>
        <w:t>conclusioni</w:t>
      </w:r>
      <w:proofErr w:type="spellEnd"/>
    </w:p>
    <w:p w14:paraId="250A9EBF" w14:textId="08995980" w:rsidR="005C1D8F" w:rsidRDefault="00381939" w:rsidP="005C1D8F">
      <w:pPr>
        <w:pStyle w:val="Heading2"/>
        <w:spacing w:before="160"/>
        <w:ind w:left="74"/>
        <w:rPr>
          <w:rFonts w:ascii="Calibri" w:eastAsia="Calibri" w:hAnsi="Calibri" w:cs="Calibri"/>
          <w:sz w:val="24"/>
          <w:szCs w:val="24"/>
        </w:rPr>
      </w:pPr>
      <w:r>
        <w:rPr>
          <w:rFonts w:ascii="Calibri" w:eastAsia="Calibri" w:hAnsi="Calibri" w:cs="Calibri"/>
          <w:sz w:val="24"/>
          <w:szCs w:val="24"/>
        </w:rPr>
        <w:t>1</w:t>
      </w:r>
      <w:r w:rsidR="005C1D8F">
        <w:rPr>
          <w:rFonts w:ascii="Calibri" w:eastAsia="Calibri" w:hAnsi="Calibri" w:cs="Calibri"/>
          <w:sz w:val="24"/>
          <w:szCs w:val="24"/>
        </w:rPr>
        <w:t>- Introduzione</w:t>
      </w:r>
      <w:r w:rsidR="001A50BF">
        <w:rPr>
          <w:rFonts w:ascii="Calibri" w:eastAsia="Calibri" w:hAnsi="Calibri" w:cs="Calibri"/>
          <w:sz w:val="24"/>
          <w:szCs w:val="24"/>
        </w:rPr>
        <w:t xml:space="preserve"> e aggiornamenti </w:t>
      </w:r>
      <w:r w:rsidR="005C1D8F">
        <w:rPr>
          <w:rFonts w:ascii="Calibri" w:eastAsia="Calibri" w:hAnsi="Calibri" w:cs="Calibri"/>
          <w:sz w:val="24"/>
          <w:szCs w:val="24"/>
        </w:rPr>
        <w:t xml:space="preserve"> </w:t>
      </w:r>
    </w:p>
    <w:p w14:paraId="18756886" w14:textId="043D266D" w:rsidR="00D703C2" w:rsidRPr="00391FD8" w:rsidRDefault="005C1D8F" w:rsidP="00D703C2">
      <w:pPr>
        <w:jc w:val="both"/>
        <w:rPr>
          <w:color w:val="000000" w:themeColor="text1"/>
        </w:rPr>
      </w:pPr>
      <w:r w:rsidRPr="00391FD8">
        <w:rPr>
          <w:highlight w:val="white"/>
        </w:rPr>
        <w:t xml:space="preserve">Bianco </w:t>
      </w:r>
      <w:r w:rsidR="00D703C2" w:rsidRPr="00391FD8">
        <w:rPr>
          <w:highlight w:val="white"/>
        </w:rPr>
        <w:t>presenta l’Agenda della riunione</w:t>
      </w:r>
      <w:r w:rsidR="00D703C2" w:rsidRPr="00391FD8">
        <w:t xml:space="preserve"> e </w:t>
      </w:r>
      <w:r w:rsidR="001A50BF" w:rsidRPr="00391FD8">
        <w:rPr>
          <w:color w:val="000000" w:themeColor="text1"/>
        </w:rPr>
        <w:t xml:space="preserve">aggiorna i presenti sulla mancata pubblicazione del Piano Nazionale Scienza Aperta e </w:t>
      </w:r>
      <w:r w:rsidR="00D703C2" w:rsidRPr="00391FD8">
        <w:rPr>
          <w:color w:val="000000" w:themeColor="text1"/>
        </w:rPr>
        <w:t xml:space="preserve">suggerisce l’utilità della partecipazione, in rappresentanza </w:t>
      </w:r>
      <w:proofErr w:type="spellStart"/>
      <w:r w:rsidR="00D703C2" w:rsidRPr="00391FD8">
        <w:rPr>
          <w:color w:val="000000" w:themeColor="text1"/>
        </w:rPr>
        <w:t>GdL</w:t>
      </w:r>
      <w:proofErr w:type="spellEnd"/>
      <w:r w:rsidR="00D703C2" w:rsidRPr="00391FD8">
        <w:rPr>
          <w:color w:val="000000" w:themeColor="text1"/>
        </w:rPr>
        <w:t xml:space="preserve"> Open Science, a</w:t>
      </w:r>
      <w:r w:rsidR="001A50BF" w:rsidRPr="00391FD8">
        <w:rPr>
          <w:color w:val="000000" w:themeColor="text1"/>
        </w:rPr>
        <w:t xml:space="preserve">lla riunione </w:t>
      </w:r>
      <w:proofErr w:type="spellStart"/>
      <w:r w:rsidR="001A50BF" w:rsidRPr="00391FD8">
        <w:rPr>
          <w:color w:val="000000" w:themeColor="text1"/>
        </w:rPr>
        <w:t>ConPER</w:t>
      </w:r>
      <w:proofErr w:type="spellEnd"/>
      <w:r w:rsidR="001A50BF" w:rsidRPr="00391FD8">
        <w:rPr>
          <w:color w:val="000000" w:themeColor="text1"/>
        </w:rPr>
        <w:t xml:space="preserve"> del 12 </w:t>
      </w:r>
      <w:r w:rsidR="00391FD8" w:rsidRPr="00391FD8">
        <w:rPr>
          <w:color w:val="000000" w:themeColor="text1"/>
        </w:rPr>
        <w:t>aprile</w:t>
      </w:r>
      <w:r w:rsidR="001A50BF" w:rsidRPr="00391FD8">
        <w:rPr>
          <w:color w:val="000000" w:themeColor="text1"/>
        </w:rPr>
        <w:t xml:space="preserve"> </w:t>
      </w:r>
      <w:r w:rsidR="00D703C2" w:rsidRPr="00391FD8">
        <w:rPr>
          <w:color w:val="000000" w:themeColor="text1"/>
        </w:rPr>
        <w:t xml:space="preserve">nella quale ANVUR interverrà </w:t>
      </w:r>
      <w:r w:rsidR="001A50BF" w:rsidRPr="00391FD8">
        <w:rPr>
          <w:color w:val="000000" w:themeColor="text1"/>
        </w:rPr>
        <w:t>per la presentazione sui risultati VQR in corso</w:t>
      </w:r>
      <w:r w:rsidR="00D703C2" w:rsidRPr="00391FD8">
        <w:rPr>
          <w:color w:val="000000" w:themeColor="text1"/>
        </w:rPr>
        <w:t>.</w:t>
      </w:r>
    </w:p>
    <w:p w14:paraId="25826843" w14:textId="77777777" w:rsidR="00D703C2" w:rsidRPr="00391FD8" w:rsidRDefault="00D703C2" w:rsidP="00D703C2">
      <w:pPr>
        <w:pBdr>
          <w:top w:val="nil"/>
          <w:left w:val="nil"/>
          <w:bottom w:val="nil"/>
          <w:right w:val="nil"/>
          <w:between w:val="nil"/>
        </w:pBdr>
        <w:jc w:val="both"/>
        <w:rPr>
          <w:color w:val="000000"/>
          <w:highlight w:val="white"/>
        </w:rPr>
      </w:pPr>
      <w:r w:rsidRPr="00391FD8">
        <w:rPr>
          <w:color w:val="000000"/>
          <w:highlight w:val="white"/>
        </w:rPr>
        <w:t xml:space="preserve">Bianco presenta la pagina web minimale del </w:t>
      </w:r>
      <w:proofErr w:type="spellStart"/>
      <w:r w:rsidRPr="00391FD8">
        <w:rPr>
          <w:color w:val="000000"/>
          <w:highlight w:val="white"/>
        </w:rPr>
        <w:t>Gdl</w:t>
      </w:r>
      <w:proofErr w:type="spellEnd"/>
      <w:r w:rsidRPr="00391FD8">
        <w:rPr>
          <w:color w:val="000000"/>
          <w:highlight w:val="white"/>
        </w:rPr>
        <w:t>, gestita e ospitata da INFN con invito ad approvarla entro la prossima seduta.</w:t>
      </w:r>
    </w:p>
    <w:p w14:paraId="26592D53" w14:textId="19438DBF" w:rsidR="00D703C2" w:rsidRPr="00391FD8" w:rsidRDefault="00D703C2" w:rsidP="00D703C2">
      <w:pPr>
        <w:pBdr>
          <w:top w:val="nil"/>
          <w:left w:val="nil"/>
          <w:bottom w:val="nil"/>
          <w:right w:val="nil"/>
          <w:between w:val="nil"/>
        </w:pBdr>
        <w:jc w:val="both"/>
        <w:rPr>
          <w:color w:val="000000"/>
          <w:highlight w:val="white"/>
        </w:rPr>
      </w:pPr>
      <w:r w:rsidRPr="00391FD8">
        <w:rPr>
          <w:color w:val="000000"/>
          <w:highlight w:val="white"/>
        </w:rPr>
        <w:t>Bianco poi presenta il nuovo ambiente di lavoro condiviso sul modello Google Drive-</w:t>
      </w:r>
      <w:proofErr w:type="spellStart"/>
      <w:r w:rsidRPr="00391FD8">
        <w:rPr>
          <w:color w:val="000000"/>
          <w:highlight w:val="white"/>
        </w:rPr>
        <w:t>workspace</w:t>
      </w:r>
      <w:proofErr w:type="spellEnd"/>
      <w:r w:rsidRPr="00391FD8">
        <w:rPr>
          <w:color w:val="000000"/>
          <w:highlight w:val="white"/>
        </w:rPr>
        <w:t xml:space="preserve"> </w:t>
      </w:r>
      <w:proofErr w:type="spellStart"/>
      <w:r w:rsidRPr="00391FD8">
        <w:rPr>
          <w:color w:val="000000"/>
          <w:highlight w:val="white"/>
        </w:rPr>
        <w:t>OnlyOffice</w:t>
      </w:r>
      <w:proofErr w:type="spellEnd"/>
      <w:r w:rsidRPr="00391FD8">
        <w:rPr>
          <w:color w:val="000000"/>
          <w:highlight w:val="white"/>
        </w:rPr>
        <w:t xml:space="preserve"> e propone di testarlo ancora e poi di abilitare tutti i colleghi.</w:t>
      </w:r>
    </w:p>
    <w:p w14:paraId="462C9102" w14:textId="77777777" w:rsidR="00D703C2" w:rsidRPr="00391FD8" w:rsidRDefault="00D703C2" w:rsidP="00D703C2">
      <w:pPr>
        <w:pBdr>
          <w:top w:val="nil"/>
          <w:left w:val="nil"/>
          <w:bottom w:val="nil"/>
          <w:right w:val="nil"/>
          <w:between w:val="nil"/>
        </w:pBdr>
        <w:jc w:val="both"/>
        <w:rPr>
          <w:color w:val="000000"/>
          <w:highlight w:val="white"/>
        </w:rPr>
      </w:pPr>
      <w:r w:rsidRPr="00391FD8">
        <w:rPr>
          <w:color w:val="000000"/>
          <w:highlight w:val="white"/>
        </w:rPr>
        <w:t>Locati ricorda che bisogna preparare un messaggio per sollecitare gli enti a mettere a punto sistemi di autenticazione come IDEM.</w:t>
      </w:r>
    </w:p>
    <w:p w14:paraId="0477FF98" w14:textId="77777777" w:rsidR="001A50BF" w:rsidRPr="005C1D8F" w:rsidRDefault="001A50BF" w:rsidP="005C1D8F">
      <w:pPr>
        <w:rPr>
          <w:color w:val="E01528"/>
        </w:rPr>
      </w:pPr>
    </w:p>
    <w:p w14:paraId="29C45F40" w14:textId="403E7C09" w:rsidR="00AC2BFA" w:rsidRDefault="00381939" w:rsidP="003036C9">
      <w:pPr>
        <w:pStyle w:val="Heading2"/>
        <w:pBdr>
          <w:top w:val="single" w:sz="4" w:space="2" w:color="A5A5A5" w:themeColor="accent3"/>
        </w:pBdr>
        <w:spacing w:before="160"/>
        <w:ind w:left="74"/>
        <w:rPr>
          <w:rFonts w:ascii="Calibri" w:eastAsia="Calibri" w:hAnsi="Calibri" w:cs="Calibri"/>
          <w:sz w:val="24"/>
          <w:szCs w:val="24"/>
        </w:rPr>
      </w:pPr>
      <w:r>
        <w:rPr>
          <w:rFonts w:ascii="Calibri" w:eastAsia="Calibri" w:hAnsi="Calibri" w:cs="Calibri"/>
          <w:sz w:val="24"/>
          <w:szCs w:val="24"/>
        </w:rPr>
        <w:t>2</w:t>
      </w:r>
      <w:r w:rsidR="005C1D8F">
        <w:rPr>
          <w:rFonts w:ascii="Calibri" w:eastAsia="Calibri" w:hAnsi="Calibri" w:cs="Calibri"/>
          <w:sz w:val="24"/>
          <w:szCs w:val="24"/>
        </w:rPr>
        <w:t xml:space="preserve">- </w:t>
      </w:r>
      <w:r w:rsidR="001A50BF">
        <w:rPr>
          <w:rFonts w:ascii="Calibri" w:eastAsia="Calibri" w:hAnsi="Calibri" w:cs="Calibri"/>
          <w:sz w:val="24"/>
          <w:szCs w:val="24"/>
        </w:rPr>
        <w:t>Contatto con la CODIGER</w:t>
      </w:r>
    </w:p>
    <w:p w14:paraId="320AAC6F" w14:textId="0EFED1FD" w:rsidR="001A50BF" w:rsidRPr="001A50BF" w:rsidRDefault="001A50BF" w:rsidP="00D703C2">
      <w:pPr>
        <w:pBdr>
          <w:top w:val="nil"/>
          <w:left w:val="nil"/>
          <w:bottom w:val="nil"/>
          <w:right w:val="nil"/>
          <w:between w:val="nil"/>
        </w:pBdr>
        <w:jc w:val="both"/>
        <w:rPr>
          <w:bCs/>
          <w:color w:val="000000"/>
          <w:highlight w:val="white"/>
        </w:rPr>
      </w:pPr>
      <w:r w:rsidRPr="001A50BF">
        <w:rPr>
          <w:bCs/>
          <w:color w:val="000000"/>
          <w:highlight w:val="white"/>
        </w:rPr>
        <w:t xml:space="preserve">Comunicazione su sinergie comuni tra CODIGER e </w:t>
      </w:r>
      <w:proofErr w:type="spellStart"/>
      <w:r w:rsidRPr="001A50BF">
        <w:rPr>
          <w:bCs/>
          <w:color w:val="000000"/>
          <w:highlight w:val="white"/>
        </w:rPr>
        <w:t>ConPER</w:t>
      </w:r>
      <w:proofErr w:type="spellEnd"/>
      <w:r w:rsidRPr="001A50BF">
        <w:rPr>
          <w:bCs/>
          <w:color w:val="000000"/>
          <w:highlight w:val="white"/>
        </w:rPr>
        <w:t xml:space="preserve"> in campo Open Science. </w:t>
      </w:r>
    </w:p>
    <w:p w14:paraId="6BDF3E48" w14:textId="0BBF3989" w:rsidR="00AC2BFA" w:rsidRDefault="00603027" w:rsidP="00992A29">
      <w:pPr>
        <w:pStyle w:val="Heading2"/>
        <w:rPr>
          <w:sz w:val="24"/>
          <w:szCs w:val="24"/>
          <w:highlight w:val="white"/>
        </w:rPr>
      </w:pPr>
      <w:r w:rsidRPr="00603027">
        <w:rPr>
          <w:rStyle w:val="SubtleReference"/>
          <w:rFonts w:asciiTheme="majorHAnsi" w:hAnsiTheme="majorHAnsi"/>
          <w:caps w:val="0"/>
          <w:sz w:val="24"/>
          <w:szCs w:val="24"/>
          <w:highlight w:val="white"/>
        </w:rPr>
        <w:lastRenderedPageBreak/>
        <w:t>3-</w:t>
      </w:r>
      <w:r w:rsidR="00A738C5">
        <w:rPr>
          <w:rStyle w:val="SubtleReference"/>
          <w:rFonts w:asciiTheme="majorHAnsi" w:hAnsiTheme="majorHAnsi"/>
          <w:caps w:val="0"/>
          <w:sz w:val="24"/>
          <w:szCs w:val="24"/>
          <w:highlight w:val="white"/>
        </w:rPr>
        <w:t xml:space="preserve">Task force open-APC </w:t>
      </w:r>
      <w:r w:rsidRPr="00603027">
        <w:rPr>
          <w:rStyle w:val="SubtleReference"/>
          <w:rFonts w:asciiTheme="majorHAnsi" w:hAnsiTheme="majorHAnsi"/>
          <w:caps w:val="0"/>
          <w:sz w:val="24"/>
          <w:szCs w:val="24"/>
          <w:highlight w:val="white"/>
        </w:rPr>
        <w:t>Conclusioni</w:t>
      </w:r>
    </w:p>
    <w:p w14:paraId="1855ECFE" w14:textId="6410A033" w:rsidR="00992A29" w:rsidRPr="00391FD8" w:rsidRDefault="00A738C5" w:rsidP="00991397">
      <w:pPr>
        <w:jc w:val="both"/>
        <w:rPr>
          <w:highlight w:val="white"/>
        </w:rPr>
      </w:pPr>
      <w:r w:rsidRPr="00391FD8">
        <w:rPr>
          <w:highlight w:val="white"/>
        </w:rPr>
        <w:t>Bianco introduce la necessità di trasformare le azioni del programma di lavoro in task force di colleghi che sviluppino le attività e introduce le prime due Task force APC e Task force Sondaggio Open Science per EPR.</w:t>
      </w:r>
    </w:p>
    <w:p w14:paraId="543D4F15" w14:textId="02B62696" w:rsidR="00A738C5" w:rsidRPr="00391FD8" w:rsidRDefault="00A738C5" w:rsidP="00991397">
      <w:pPr>
        <w:jc w:val="both"/>
        <w:rPr>
          <w:highlight w:val="white"/>
        </w:rPr>
      </w:pPr>
      <w:r w:rsidRPr="00391FD8">
        <w:rPr>
          <w:highlight w:val="white"/>
        </w:rPr>
        <w:t xml:space="preserve">Si propone </w:t>
      </w:r>
      <w:r w:rsidR="00991397" w:rsidRPr="00391FD8">
        <w:rPr>
          <w:highlight w:val="white"/>
        </w:rPr>
        <w:t xml:space="preserve">che </w:t>
      </w:r>
      <w:r w:rsidRPr="00391FD8">
        <w:rPr>
          <w:highlight w:val="white"/>
        </w:rPr>
        <w:t xml:space="preserve">il coordinamento della Task force APC </w:t>
      </w:r>
      <w:r w:rsidR="00991397" w:rsidRPr="00391FD8">
        <w:rPr>
          <w:highlight w:val="white"/>
        </w:rPr>
        <w:t>sia affidata al</w:t>
      </w:r>
      <w:r w:rsidRPr="00391FD8">
        <w:rPr>
          <w:highlight w:val="white"/>
        </w:rPr>
        <w:t xml:space="preserve"> collega De Simone del CNR perché il CNR ha sviluppato un sistema di controllo delle spese, </w:t>
      </w:r>
      <w:r w:rsidR="00991397" w:rsidRPr="00391FD8">
        <w:rPr>
          <w:highlight w:val="white"/>
        </w:rPr>
        <w:t>è concordato che gli interessati a partecipare all’attività invieranno una mail di</w:t>
      </w:r>
      <w:r w:rsidRPr="00391FD8">
        <w:rPr>
          <w:highlight w:val="white"/>
        </w:rPr>
        <w:t xml:space="preserve"> adesione volontaria De Simone entro una settimana.</w:t>
      </w:r>
    </w:p>
    <w:p w14:paraId="3E37077F" w14:textId="0483EFE3" w:rsidR="00A738C5" w:rsidRPr="00391FD8" w:rsidRDefault="00A738C5" w:rsidP="00991397">
      <w:pPr>
        <w:jc w:val="both"/>
        <w:rPr>
          <w:highlight w:val="white"/>
        </w:rPr>
      </w:pPr>
      <w:r w:rsidRPr="00391FD8">
        <w:rPr>
          <w:highlight w:val="white"/>
        </w:rPr>
        <w:t xml:space="preserve">La task force inizierà </w:t>
      </w:r>
      <w:r w:rsidR="00991397" w:rsidRPr="00391FD8">
        <w:rPr>
          <w:highlight w:val="white"/>
        </w:rPr>
        <w:t>effettuando</w:t>
      </w:r>
      <w:r w:rsidRPr="00391FD8">
        <w:rPr>
          <w:highlight w:val="white"/>
        </w:rPr>
        <w:t xml:space="preserve"> una ricognizione degli aderenti italiani al Progetto Open APC per poi analizzare cosa si fa in questo ambito nei diversi EPR. Analizzerà le modalità di adesione e le procedure.</w:t>
      </w:r>
    </w:p>
    <w:p w14:paraId="286F41BB" w14:textId="43BC1325" w:rsidR="00A738C5" w:rsidRPr="00391FD8" w:rsidRDefault="00A738C5" w:rsidP="00991397">
      <w:pPr>
        <w:jc w:val="both"/>
        <w:rPr>
          <w:highlight w:val="white"/>
        </w:rPr>
      </w:pPr>
      <w:r w:rsidRPr="00391FD8">
        <w:rPr>
          <w:highlight w:val="white"/>
        </w:rPr>
        <w:t xml:space="preserve">Bianco introduce il lavoro della task force del sondaggio Open Science per EPR </w:t>
      </w:r>
      <w:r w:rsidR="00991397" w:rsidRPr="00391FD8">
        <w:rPr>
          <w:highlight w:val="white"/>
        </w:rPr>
        <w:t xml:space="preserve">da sviluppare </w:t>
      </w:r>
      <w:r w:rsidRPr="00391FD8">
        <w:rPr>
          <w:highlight w:val="white"/>
        </w:rPr>
        <w:t>sul modello di quello CRUI elaborato dall’Osservatorio e già inviato alle Università</w:t>
      </w:r>
      <w:r w:rsidR="00991397" w:rsidRPr="00391FD8">
        <w:rPr>
          <w:highlight w:val="white"/>
        </w:rPr>
        <w:t>. La</w:t>
      </w:r>
      <w:r w:rsidRPr="00391FD8">
        <w:rPr>
          <w:highlight w:val="white"/>
        </w:rPr>
        <w:t xml:space="preserve"> task force coordinata da Anna Grazia Chiodetti con la collaborazione di Antonella Gasperini e Mario Locati.</w:t>
      </w:r>
    </w:p>
    <w:p w14:paraId="2F0FCD1C" w14:textId="25557912" w:rsidR="00A738C5" w:rsidRPr="00391FD8" w:rsidRDefault="00A738C5" w:rsidP="00991397">
      <w:pPr>
        <w:jc w:val="both"/>
        <w:rPr>
          <w:highlight w:val="white"/>
        </w:rPr>
      </w:pPr>
      <w:r w:rsidRPr="00391FD8">
        <w:rPr>
          <w:highlight w:val="white"/>
        </w:rPr>
        <w:t xml:space="preserve">Chiodetti </w:t>
      </w:r>
      <w:r w:rsidR="00991397" w:rsidRPr="00391FD8">
        <w:rPr>
          <w:highlight w:val="white"/>
        </w:rPr>
        <w:t xml:space="preserve">propone di analizzare il </w:t>
      </w:r>
      <w:r w:rsidRPr="00391FD8">
        <w:rPr>
          <w:highlight w:val="white"/>
        </w:rPr>
        <w:t>modello CRUI per identificarne poi uno adatto a tutti gli EPR che hanno mission e specificità diverse. Punti fondamentali del sondaggio saranno le Policy pubblicazioni e dati, i repository istituzionali negli e quelli di Dati negli EPR.</w:t>
      </w:r>
    </w:p>
    <w:p w14:paraId="441D0094" w14:textId="2743A6C4" w:rsidR="00A738C5" w:rsidRPr="00391FD8" w:rsidRDefault="00A738C5" w:rsidP="00991397">
      <w:pPr>
        <w:jc w:val="both"/>
        <w:rPr>
          <w:highlight w:val="white"/>
        </w:rPr>
      </w:pPr>
      <w:r w:rsidRPr="00391FD8">
        <w:rPr>
          <w:color w:val="000000" w:themeColor="text1"/>
          <w:highlight w:val="white"/>
        </w:rPr>
        <w:t xml:space="preserve">Locati </w:t>
      </w:r>
      <w:r w:rsidRPr="00391FD8">
        <w:rPr>
          <w:highlight w:val="white"/>
        </w:rPr>
        <w:t xml:space="preserve">introduce le attività della task force dedicata al sondaggio ICDI e propone di diffonderlo tra i referenti delle infrastrutture degli EPR presenti in </w:t>
      </w:r>
      <w:proofErr w:type="spellStart"/>
      <w:r w:rsidRPr="00391FD8">
        <w:rPr>
          <w:highlight w:val="white"/>
        </w:rPr>
        <w:t>Con</w:t>
      </w:r>
      <w:r w:rsidR="00991397" w:rsidRPr="00391FD8">
        <w:rPr>
          <w:highlight w:val="white"/>
        </w:rPr>
        <w:t>PER</w:t>
      </w:r>
      <w:proofErr w:type="spellEnd"/>
      <w:r w:rsidRPr="00391FD8">
        <w:rPr>
          <w:highlight w:val="white"/>
        </w:rPr>
        <w:t xml:space="preserve">. </w:t>
      </w:r>
    </w:p>
    <w:p w14:paraId="3B0CD5E2" w14:textId="77777777" w:rsidR="00A738C5" w:rsidRPr="00391FD8" w:rsidRDefault="00A738C5" w:rsidP="00991397">
      <w:pPr>
        <w:jc w:val="both"/>
        <w:rPr>
          <w:highlight w:val="white"/>
        </w:rPr>
      </w:pPr>
      <w:r w:rsidRPr="00391FD8">
        <w:rPr>
          <w:highlight w:val="white"/>
        </w:rPr>
        <w:t xml:space="preserve">Il sondaggio è dedicato ai Data Lake ossia infrastrutture digitali di dati. </w:t>
      </w:r>
    </w:p>
    <w:p w14:paraId="2CD0CE94" w14:textId="38F7D32E" w:rsidR="00A738C5" w:rsidRPr="00391FD8" w:rsidRDefault="00A738C5" w:rsidP="00991397">
      <w:pPr>
        <w:jc w:val="both"/>
        <w:rPr>
          <w:highlight w:val="white"/>
        </w:rPr>
      </w:pPr>
      <w:r w:rsidRPr="00391FD8">
        <w:rPr>
          <w:highlight w:val="white"/>
        </w:rPr>
        <w:t>Locati sottolinea infatti che alcuni EPR non sono presenti in ICDI. Si propone di mappare le infrastrutture nazionali per capire se vi partecipano più enti, se ci sono più nodi geografici e se l’infrastruttura è parte di una rete nazionale, europea o internazionale</w:t>
      </w:r>
      <w:r w:rsidR="00391FD8" w:rsidRPr="00391FD8">
        <w:rPr>
          <w:highlight w:val="white"/>
        </w:rPr>
        <w:t>.</w:t>
      </w:r>
    </w:p>
    <w:p w14:paraId="25A3B61A" w14:textId="77777777" w:rsidR="00A738C5" w:rsidRPr="00992A29" w:rsidRDefault="00A738C5" w:rsidP="00992A29">
      <w:pPr>
        <w:rPr>
          <w:highlight w:val="white"/>
        </w:rPr>
      </w:pPr>
    </w:p>
    <w:p w14:paraId="18D8DB2A" w14:textId="0F283991" w:rsidR="00A738C5" w:rsidRPr="00A738C5" w:rsidRDefault="00A738C5" w:rsidP="00A738C5">
      <w:pPr>
        <w:pStyle w:val="Heading2"/>
        <w:pBdr>
          <w:top w:val="single" w:sz="4" w:space="2" w:color="A5A5A5" w:themeColor="accent3"/>
        </w:pBdr>
        <w:rPr>
          <w:sz w:val="24"/>
          <w:szCs w:val="24"/>
          <w:highlight w:val="white"/>
        </w:rPr>
      </w:pPr>
      <w:r>
        <w:rPr>
          <w:sz w:val="24"/>
          <w:szCs w:val="24"/>
          <w:highlight w:val="white"/>
        </w:rPr>
        <w:t>4</w:t>
      </w:r>
      <w:r w:rsidRPr="00A738C5">
        <w:rPr>
          <w:sz w:val="24"/>
          <w:szCs w:val="24"/>
          <w:highlight w:val="white"/>
        </w:rPr>
        <w:t>-</w:t>
      </w:r>
      <w:r>
        <w:rPr>
          <w:sz w:val="24"/>
          <w:szCs w:val="24"/>
          <w:highlight w:val="white"/>
        </w:rPr>
        <w:t xml:space="preserve"> Discussione e conclusioni</w:t>
      </w:r>
    </w:p>
    <w:p w14:paraId="226C0CC5" w14:textId="47E46A22" w:rsidR="00A738C5" w:rsidRPr="00391FD8" w:rsidRDefault="00A738C5" w:rsidP="00991397">
      <w:pPr>
        <w:jc w:val="both"/>
        <w:rPr>
          <w:highlight w:val="white"/>
        </w:rPr>
      </w:pPr>
      <w:r w:rsidRPr="00391FD8">
        <w:rPr>
          <w:highlight w:val="white"/>
        </w:rPr>
        <w:t xml:space="preserve">Bianco apre la discussione finale proponendo la creazione di altre Task Force. </w:t>
      </w:r>
    </w:p>
    <w:p w14:paraId="2632A72D" w14:textId="77777777" w:rsidR="00A738C5" w:rsidRPr="00391FD8" w:rsidRDefault="00A738C5" w:rsidP="00991397">
      <w:pPr>
        <w:jc w:val="both"/>
        <w:rPr>
          <w:highlight w:val="white"/>
        </w:rPr>
      </w:pPr>
      <w:r w:rsidRPr="00391FD8">
        <w:rPr>
          <w:highlight w:val="white"/>
        </w:rPr>
        <w:t xml:space="preserve">Si parla dell’importanza di costituire in tempi brevi una task force sulla Valutazione che sembra strategica. E si chiedono opinioni su una riunione in presenza e si discute di un breve workshop in cui presentare i risultati del lavoro delle task force. </w:t>
      </w:r>
    </w:p>
    <w:p w14:paraId="00443960" w14:textId="1061C755" w:rsidR="00A738C5" w:rsidRPr="00391FD8" w:rsidRDefault="00A738C5" w:rsidP="00991397">
      <w:pPr>
        <w:jc w:val="both"/>
        <w:rPr>
          <w:highlight w:val="white"/>
        </w:rPr>
      </w:pPr>
      <w:r w:rsidRPr="00391FD8">
        <w:rPr>
          <w:highlight w:val="white"/>
        </w:rPr>
        <w:t xml:space="preserve">Si lavora per un progetto di incontro </w:t>
      </w:r>
      <w:r w:rsidR="00991397" w:rsidRPr="00391FD8">
        <w:rPr>
          <w:highlight w:val="white"/>
        </w:rPr>
        <w:t>in presenza e/</w:t>
      </w:r>
      <w:r w:rsidRPr="00391FD8">
        <w:rPr>
          <w:highlight w:val="white"/>
        </w:rPr>
        <w:t xml:space="preserve">o su un evento più ampio e dedicato ai ricercatori </w:t>
      </w:r>
      <w:r w:rsidR="00991397" w:rsidRPr="00391FD8">
        <w:rPr>
          <w:highlight w:val="white"/>
        </w:rPr>
        <w:t xml:space="preserve">per condividere con ‘esterno </w:t>
      </w:r>
      <w:r w:rsidRPr="00391FD8">
        <w:rPr>
          <w:highlight w:val="white"/>
        </w:rPr>
        <w:t xml:space="preserve">i risultati </w:t>
      </w:r>
      <w:r w:rsidR="00991397" w:rsidRPr="00391FD8">
        <w:rPr>
          <w:highlight w:val="white"/>
        </w:rPr>
        <w:t xml:space="preserve">delle attività del </w:t>
      </w:r>
      <w:proofErr w:type="spellStart"/>
      <w:r w:rsidR="00991397" w:rsidRPr="00391FD8">
        <w:rPr>
          <w:highlight w:val="white"/>
        </w:rPr>
        <w:t>GdL</w:t>
      </w:r>
      <w:proofErr w:type="spellEnd"/>
      <w:r w:rsidR="00991397" w:rsidRPr="00391FD8">
        <w:rPr>
          <w:highlight w:val="white"/>
        </w:rPr>
        <w:t>.</w:t>
      </w:r>
    </w:p>
    <w:p w14:paraId="375C8EB6" w14:textId="77777777" w:rsidR="00A738C5" w:rsidRPr="00391FD8" w:rsidRDefault="00A738C5" w:rsidP="00DF27D3">
      <w:pPr>
        <w:rPr>
          <w:highlight w:val="white"/>
        </w:rPr>
      </w:pPr>
    </w:p>
    <w:p w14:paraId="45F9A71B" w14:textId="41AA6F34" w:rsidR="00DF27D3" w:rsidRPr="00391FD8" w:rsidRDefault="00A738C5" w:rsidP="00DF27D3">
      <w:pPr>
        <w:rPr>
          <w:highlight w:val="white"/>
        </w:rPr>
      </w:pPr>
      <w:r w:rsidRPr="00391FD8">
        <w:rPr>
          <w:highlight w:val="white"/>
        </w:rPr>
        <w:t>A</w:t>
      </w:r>
      <w:r w:rsidR="00DF27D3" w:rsidRPr="00391FD8">
        <w:rPr>
          <w:highlight w:val="white"/>
        </w:rPr>
        <w:t>lle ore 12</w:t>
      </w:r>
      <w:r w:rsidR="003B0C55">
        <w:rPr>
          <w:highlight w:val="white"/>
        </w:rPr>
        <w:t>.30</w:t>
      </w:r>
      <w:r w:rsidR="00DF27D3" w:rsidRPr="00391FD8">
        <w:rPr>
          <w:highlight w:val="white"/>
        </w:rPr>
        <w:t xml:space="preserve"> l’incontro si conclude. La prossima riunione è convocata per </w:t>
      </w:r>
      <w:r w:rsidR="00391FD8" w:rsidRPr="00391FD8">
        <w:rPr>
          <w:highlight w:val="white"/>
        </w:rPr>
        <w:t>aprile</w:t>
      </w:r>
      <w:r w:rsidR="00186424" w:rsidRPr="00391FD8">
        <w:rPr>
          <w:highlight w:val="white"/>
        </w:rPr>
        <w:t xml:space="preserve"> </w:t>
      </w:r>
      <w:r w:rsidR="00DF27D3" w:rsidRPr="00391FD8">
        <w:rPr>
          <w:highlight w:val="white"/>
        </w:rPr>
        <w:t>2022.</w:t>
      </w:r>
    </w:p>
    <w:p w14:paraId="1165C77C" w14:textId="77777777" w:rsidR="001A50BF" w:rsidRDefault="001A50BF">
      <w:pPr>
        <w:rPr>
          <w:highlight w:val="white"/>
        </w:rPr>
      </w:pPr>
    </w:p>
    <w:sectPr w:rsidR="001A50BF">
      <w:footerReference w:type="even"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D1A0" w14:textId="77777777" w:rsidR="009B76C8" w:rsidRDefault="009B76C8">
      <w:r>
        <w:separator/>
      </w:r>
    </w:p>
  </w:endnote>
  <w:endnote w:type="continuationSeparator" w:id="0">
    <w:p w14:paraId="051ED6A5" w14:textId="77777777" w:rsidR="009B76C8" w:rsidRDefault="009B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1A7B" w14:textId="77777777" w:rsidR="00AC2BFA" w:rsidRDefault="005C1D8F">
    <w:pPr>
      <w:pBdr>
        <w:top w:val="nil"/>
        <w:left w:val="nil"/>
        <w:bottom w:val="nil"/>
        <w:right w:val="nil"/>
        <w:between w:val="nil"/>
      </w:pBdr>
      <w:tabs>
        <w:tab w:val="center" w:pos="4513"/>
        <w:tab w:val="right" w:pos="9026"/>
      </w:tabs>
      <w:jc w:val="center"/>
      <w:rPr>
        <w:color w:val="262626"/>
      </w:rPr>
    </w:pPr>
    <w:r>
      <w:rPr>
        <w:color w:val="262626"/>
      </w:rPr>
      <w:fldChar w:fldCharType="begin"/>
    </w:r>
    <w:r>
      <w:rPr>
        <w:color w:val="262626"/>
      </w:rPr>
      <w:instrText>PAGE</w:instrText>
    </w:r>
    <w:r w:rsidR="009B76C8">
      <w:rPr>
        <w:color w:val="262626"/>
      </w:rPr>
      <w:fldChar w:fldCharType="separate"/>
    </w:r>
    <w:r>
      <w:rPr>
        <w:color w:val="262626"/>
      </w:rPr>
      <w:fldChar w:fldCharType="end"/>
    </w:r>
  </w:p>
  <w:p w14:paraId="04C19A28" w14:textId="77777777" w:rsidR="00AC2BFA" w:rsidRDefault="00AC2BFA">
    <w:pPr>
      <w:pBdr>
        <w:top w:val="nil"/>
        <w:left w:val="nil"/>
        <w:bottom w:val="nil"/>
        <w:right w:val="nil"/>
        <w:between w:val="nil"/>
      </w:pBdr>
      <w:tabs>
        <w:tab w:val="center" w:pos="4513"/>
        <w:tab w:val="right" w:pos="9026"/>
      </w:tabs>
      <w:rPr>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3D51" w14:textId="77777777" w:rsidR="00AC2BFA" w:rsidRDefault="005C1D8F">
    <w:pPr>
      <w:pBdr>
        <w:top w:val="nil"/>
        <w:left w:val="nil"/>
        <w:bottom w:val="nil"/>
        <w:right w:val="nil"/>
        <w:between w:val="nil"/>
      </w:pBdr>
      <w:tabs>
        <w:tab w:val="center" w:pos="4513"/>
        <w:tab w:val="right" w:pos="9026"/>
      </w:tabs>
      <w:jc w:val="center"/>
      <w:rPr>
        <w:color w:val="262626"/>
      </w:rPr>
    </w:pPr>
    <w:r>
      <w:rPr>
        <w:color w:val="262626"/>
      </w:rPr>
      <w:fldChar w:fldCharType="begin"/>
    </w:r>
    <w:r>
      <w:rPr>
        <w:color w:val="262626"/>
      </w:rPr>
      <w:instrText>PAGE</w:instrText>
    </w:r>
    <w:r>
      <w:rPr>
        <w:color w:val="262626"/>
      </w:rPr>
      <w:fldChar w:fldCharType="separate"/>
    </w:r>
    <w:r>
      <w:rPr>
        <w:noProof/>
        <w:color w:val="262626"/>
      </w:rPr>
      <w:t>1</w:t>
    </w:r>
    <w:r>
      <w:rPr>
        <w:color w:val="262626"/>
      </w:rPr>
      <w:fldChar w:fldCharType="end"/>
    </w:r>
  </w:p>
  <w:p w14:paraId="3B59389F" w14:textId="77777777" w:rsidR="00AC2BFA" w:rsidRDefault="00AC2BFA">
    <w:pPr>
      <w:pBdr>
        <w:top w:val="nil"/>
        <w:left w:val="nil"/>
        <w:bottom w:val="nil"/>
        <w:right w:val="nil"/>
        <w:between w:val="nil"/>
      </w:pBdr>
      <w:tabs>
        <w:tab w:val="center" w:pos="4513"/>
        <w:tab w:val="right" w:pos="9026"/>
      </w:tabs>
      <w:rPr>
        <w:color w:val="2626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5924" w14:textId="77777777" w:rsidR="009B76C8" w:rsidRDefault="009B76C8">
      <w:r>
        <w:separator/>
      </w:r>
    </w:p>
  </w:footnote>
  <w:footnote w:type="continuationSeparator" w:id="0">
    <w:p w14:paraId="726530B4" w14:textId="77777777" w:rsidR="009B76C8" w:rsidRDefault="009B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A6B"/>
    <w:multiLevelType w:val="multilevel"/>
    <w:tmpl w:val="F6723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64E5A"/>
    <w:multiLevelType w:val="hybridMultilevel"/>
    <w:tmpl w:val="B32AC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96568"/>
    <w:multiLevelType w:val="multilevel"/>
    <w:tmpl w:val="181A25E4"/>
    <w:lvl w:ilvl="0">
      <w:start w:val="1"/>
      <w:numFmt w:val="decimal"/>
      <w:lvlText w:val="%1-"/>
      <w:lvlJc w:val="left"/>
      <w:pPr>
        <w:ind w:left="1288" w:hanging="71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465567"/>
    <w:multiLevelType w:val="hybridMultilevel"/>
    <w:tmpl w:val="183E40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17116A"/>
    <w:multiLevelType w:val="hybridMultilevel"/>
    <w:tmpl w:val="4E4069C0"/>
    <w:lvl w:ilvl="0" w:tplc="7B0E2F46">
      <w:start w:val="1"/>
      <w:numFmt w:val="decimal"/>
      <w:lvlText w:val="%1-"/>
      <w:lvlJc w:val="left"/>
      <w:pPr>
        <w:tabs>
          <w:tab w:val="num" w:pos="1211"/>
        </w:tabs>
        <w:ind w:left="1211" w:hanging="360"/>
      </w:pPr>
      <w:rPr>
        <w:rFonts w:ascii="Calibri" w:eastAsiaTheme="minorEastAsia" w:hAnsi="Calibri" w:cs="Calibri"/>
      </w:rPr>
    </w:lvl>
    <w:lvl w:ilvl="1" w:tplc="09320D08">
      <w:start w:val="1"/>
      <w:numFmt w:val="bullet"/>
      <w:lvlText w:val="•"/>
      <w:lvlJc w:val="left"/>
      <w:pPr>
        <w:tabs>
          <w:tab w:val="num" w:pos="1931"/>
        </w:tabs>
        <w:ind w:left="1931" w:hanging="360"/>
      </w:pPr>
      <w:rPr>
        <w:rFonts w:ascii="Arial" w:hAnsi="Arial" w:cs="Times New Roman" w:hint="default"/>
      </w:rPr>
    </w:lvl>
    <w:lvl w:ilvl="2" w:tplc="5E903232">
      <w:start w:val="1"/>
      <w:numFmt w:val="bullet"/>
      <w:lvlText w:val="•"/>
      <w:lvlJc w:val="left"/>
      <w:pPr>
        <w:tabs>
          <w:tab w:val="num" w:pos="2651"/>
        </w:tabs>
        <w:ind w:left="2651" w:hanging="360"/>
      </w:pPr>
      <w:rPr>
        <w:rFonts w:ascii="Arial" w:hAnsi="Arial" w:cs="Times New Roman" w:hint="default"/>
      </w:rPr>
    </w:lvl>
    <w:lvl w:ilvl="3" w:tplc="00480752">
      <w:start w:val="1"/>
      <w:numFmt w:val="bullet"/>
      <w:lvlText w:val="•"/>
      <w:lvlJc w:val="left"/>
      <w:pPr>
        <w:tabs>
          <w:tab w:val="num" w:pos="3371"/>
        </w:tabs>
        <w:ind w:left="3371" w:hanging="360"/>
      </w:pPr>
      <w:rPr>
        <w:rFonts w:ascii="Arial" w:hAnsi="Arial" w:cs="Times New Roman" w:hint="default"/>
      </w:rPr>
    </w:lvl>
    <w:lvl w:ilvl="4" w:tplc="42262A66">
      <w:start w:val="1"/>
      <w:numFmt w:val="bullet"/>
      <w:lvlText w:val="•"/>
      <w:lvlJc w:val="left"/>
      <w:pPr>
        <w:tabs>
          <w:tab w:val="num" w:pos="4091"/>
        </w:tabs>
        <w:ind w:left="4091" w:hanging="360"/>
      </w:pPr>
      <w:rPr>
        <w:rFonts w:ascii="Arial" w:hAnsi="Arial" w:cs="Times New Roman" w:hint="default"/>
      </w:rPr>
    </w:lvl>
    <w:lvl w:ilvl="5" w:tplc="1380655E">
      <w:start w:val="1"/>
      <w:numFmt w:val="bullet"/>
      <w:lvlText w:val="•"/>
      <w:lvlJc w:val="left"/>
      <w:pPr>
        <w:tabs>
          <w:tab w:val="num" w:pos="4811"/>
        </w:tabs>
        <w:ind w:left="4811" w:hanging="360"/>
      </w:pPr>
      <w:rPr>
        <w:rFonts w:ascii="Arial" w:hAnsi="Arial" w:cs="Times New Roman" w:hint="default"/>
      </w:rPr>
    </w:lvl>
    <w:lvl w:ilvl="6" w:tplc="2214C9FE">
      <w:start w:val="1"/>
      <w:numFmt w:val="bullet"/>
      <w:lvlText w:val="•"/>
      <w:lvlJc w:val="left"/>
      <w:pPr>
        <w:tabs>
          <w:tab w:val="num" w:pos="5531"/>
        </w:tabs>
        <w:ind w:left="5531" w:hanging="360"/>
      </w:pPr>
      <w:rPr>
        <w:rFonts w:ascii="Arial" w:hAnsi="Arial" w:cs="Times New Roman" w:hint="default"/>
      </w:rPr>
    </w:lvl>
    <w:lvl w:ilvl="7" w:tplc="C9265E38">
      <w:start w:val="1"/>
      <w:numFmt w:val="bullet"/>
      <w:lvlText w:val="•"/>
      <w:lvlJc w:val="left"/>
      <w:pPr>
        <w:tabs>
          <w:tab w:val="num" w:pos="6251"/>
        </w:tabs>
        <w:ind w:left="6251" w:hanging="360"/>
      </w:pPr>
      <w:rPr>
        <w:rFonts w:ascii="Arial" w:hAnsi="Arial" w:cs="Times New Roman" w:hint="default"/>
      </w:rPr>
    </w:lvl>
    <w:lvl w:ilvl="8" w:tplc="1CB2615A">
      <w:start w:val="1"/>
      <w:numFmt w:val="bullet"/>
      <w:lvlText w:val="•"/>
      <w:lvlJc w:val="left"/>
      <w:pPr>
        <w:tabs>
          <w:tab w:val="num" w:pos="6971"/>
        </w:tabs>
        <w:ind w:left="6971" w:hanging="360"/>
      </w:pPr>
      <w:rPr>
        <w:rFonts w:ascii="Arial" w:hAnsi="Arial" w:cs="Times New Roman" w:hint="default"/>
      </w:rPr>
    </w:lvl>
  </w:abstractNum>
  <w:abstractNum w:abstractNumId="5" w15:restartNumberingAfterBreak="0">
    <w:nsid w:val="64D22A7B"/>
    <w:multiLevelType w:val="hybridMultilevel"/>
    <w:tmpl w:val="2514D9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734CD3"/>
    <w:multiLevelType w:val="hybridMultilevel"/>
    <w:tmpl w:val="2514D9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FA"/>
    <w:rsid w:val="00115A45"/>
    <w:rsid w:val="00186424"/>
    <w:rsid w:val="001A50BF"/>
    <w:rsid w:val="001A5B8A"/>
    <w:rsid w:val="001E1E15"/>
    <w:rsid w:val="00271FFB"/>
    <w:rsid w:val="003036C9"/>
    <w:rsid w:val="00381939"/>
    <w:rsid w:val="00391FD8"/>
    <w:rsid w:val="003B0C55"/>
    <w:rsid w:val="00527DE3"/>
    <w:rsid w:val="00540C04"/>
    <w:rsid w:val="005C1D8F"/>
    <w:rsid w:val="00603027"/>
    <w:rsid w:val="00691B4F"/>
    <w:rsid w:val="00714D63"/>
    <w:rsid w:val="00784E08"/>
    <w:rsid w:val="00991397"/>
    <w:rsid w:val="00992A29"/>
    <w:rsid w:val="009B76C8"/>
    <w:rsid w:val="00A2108E"/>
    <w:rsid w:val="00A738C5"/>
    <w:rsid w:val="00AC2BFA"/>
    <w:rsid w:val="00AF65A9"/>
    <w:rsid w:val="00BB78F4"/>
    <w:rsid w:val="00CA7D0C"/>
    <w:rsid w:val="00D10C28"/>
    <w:rsid w:val="00D23385"/>
    <w:rsid w:val="00D703C2"/>
    <w:rsid w:val="00D72392"/>
    <w:rsid w:val="00D7431A"/>
    <w:rsid w:val="00DF27D3"/>
    <w:rsid w:val="00E151B4"/>
    <w:rsid w:val="00E967CE"/>
    <w:rsid w:val="00ED4714"/>
    <w:rsid w:val="00FE7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059F"/>
  <w15:docId w15:val="{777FD6F8-C11C-471D-8173-B3FF5329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98"/>
    <w:rPr>
      <w:color w:val="262626" w:themeColor="text1" w:themeTint="D9"/>
    </w:rPr>
  </w:style>
  <w:style w:type="paragraph" w:styleId="Heading1">
    <w:name w:val="heading 1"/>
    <w:basedOn w:val="Normal"/>
    <w:next w:val="Normal"/>
    <w:link w:val="Heading1Char"/>
    <w:uiPriority w:val="9"/>
    <w:qFormat/>
    <w:rsid w:val="00960C98"/>
    <w:pPr>
      <w:keepNext/>
      <w:keepLines/>
      <w:spacing w:before="240"/>
      <w:outlineLvl w:val="0"/>
    </w:pPr>
    <w:rPr>
      <w:rFonts w:ascii="Century Gothic" w:eastAsiaTheme="majorEastAsia" w:hAnsi="Century Gothic" w:cstheme="majorBidi"/>
      <w:color w:val="E01528"/>
      <w:sz w:val="32"/>
      <w:szCs w:val="32"/>
    </w:rPr>
  </w:style>
  <w:style w:type="paragraph" w:styleId="Heading2">
    <w:name w:val="heading 2"/>
    <w:basedOn w:val="Normal"/>
    <w:link w:val="Heading2Char"/>
    <w:uiPriority w:val="9"/>
    <w:unhideWhenUsed/>
    <w:qFormat/>
    <w:rsid w:val="00960C98"/>
    <w:pPr>
      <w:keepNext/>
      <w:keepLines/>
      <w:pBdr>
        <w:top w:val="single" w:sz="4" w:space="1" w:color="A5A5A5" w:themeColor="accent3"/>
      </w:pBdr>
      <w:spacing w:before="360" w:after="160"/>
      <w:ind w:left="72"/>
      <w:contextualSpacing/>
      <w:outlineLvl w:val="1"/>
    </w:pPr>
    <w:rPr>
      <w:rFonts w:asciiTheme="majorHAnsi" w:eastAsiaTheme="majorEastAsia" w:hAnsiTheme="majorHAnsi" w:cstheme="majorBidi"/>
      <w:bCs/>
      <w:color w:val="E01528"/>
      <w:spacing w:val="15"/>
      <w:sz w:val="28"/>
      <w:szCs w:val="21"/>
      <w:lang w:eastAsia="ja-JP"/>
    </w:rPr>
  </w:style>
  <w:style w:type="paragraph" w:styleId="Heading3">
    <w:name w:val="heading 3"/>
    <w:basedOn w:val="Normal"/>
    <w:next w:val="Normal"/>
    <w:link w:val="Heading3Char"/>
    <w:uiPriority w:val="9"/>
    <w:semiHidden/>
    <w:unhideWhenUsed/>
    <w:qFormat/>
    <w:rsid w:val="003254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254E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54E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54E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2F3385"/>
    <w:pPr>
      <w:spacing w:before="120" w:after="40"/>
      <w:ind w:left="72"/>
      <w:contextualSpacing/>
    </w:pPr>
    <w:rPr>
      <w:rFonts w:ascii="Century Gothic" w:eastAsiaTheme="majorEastAsia" w:hAnsi="Century Gothic" w:cstheme="majorBidi"/>
      <w:color w:val="E01528"/>
      <w:sz w:val="40"/>
      <w:szCs w:val="50"/>
      <w:lang w:eastAsia="ja-JP"/>
    </w:rPr>
  </w:style>
  <w:style w:type="table" w:styleId="TableGrid">
    <w:name w:val="Table Grid"/>
    <w:basedOn w:val="TableNormal"/>
    <w:uiPriority w:val="39"/>
    <w:rsid w:val="002F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2F3385"/>
    <w:rPr>
      <w:rFonts w:ascii="Century Gothic" w:eastAsiaTheme="majorEastAsia" w:hAnsi="Century Gothic" w:cstheme="majorBidi"/>
      <w:color w:val="E01528"/>
      <w:sz w:val="40"/>
      <w:szCs w:val="50"/>
      <w:lang w:val="it-IT" w:eastAsia="ja-JP"/>
    </w:rPr>
  </w:style>
  <w:style w:type="character" w:customStyle="1" w:styleId="Heading2Char">
    <w:name w:val="Heading 2 Char"/>
    <w:basedOn w:val="DefaultParagraphFont"/>
    <w:link w:val="Heading2"/>
    <w:uiPriority w:val="9"/>
    <w:rsid w:val="00960C98"/>
    <w:rPr>
      <w:rFonts w:asciiTheme="majorHAnsi" w:eastAsiaTheme="majorEastAsia" w:hAnsiTheme="majorHAnsi" w:cstheme="majorBidi"/>
      <w:bCs/>
      <w:color w:val="E01528"/>
      <w:spacing w:val="15"/>
      <w:sz w:val="28"/>
      <w:szCs w:val="21"/>
      <w:lang w:val="it-IT" w:eastAsia="ja-JP"/>
    </w:rPr>
  </w:style>
  <w:style w:type="character" w:styleId="SubtleReference">
    <w:name w:val="Subtle Reference"/>
    <w:basedOn w:val="DefaultParagraphFont"/>
    <w:uiPriority w:val="2"/>
    <w:qFormat/>
    <w:rsid w:val="002F3385"/>
    <w:rPr>
      <w:rFonts w:ascii="Century Gothic" w:hAnsi="Century Gothic"/>
      <w:b w:val="0"/>
      <w:i w:val="0"/>
      <w:caps/>
      <w:smallCaps w:val="0"/>
      <w:color w:val="E01528"/>
      <w:sz w:val="32"/>
    </w:rPr>
  </w:style>
  <w:style w:type="character" w:customStyle="1" w:styleId="Heading1Char">
    <w:name w:val="Heading 1 Char"/>
    <w:basedOn w:val="DefaultParagraphFont"/>
    <w:link w:val="Heading1"/>
    <w:uiPriority w:val="9"/>
    <w:rsid w:val="00960C98"/>
    <w:rPr>
      <w:rFonts w:ascii="Century Gothic" w:eastAsiaTheme="majorEastAsia" w:hAnsi="Century Gothic" w:cstheme="majorBidi"/>
      <w:color w:val="E01528"/>
      <w:sz w:val="32"/>
      <w:szCs w:val="32"/>
    </w:rPr>
  </w:style>
  <w:style w:type="paragraph" w:styleId="ListParagraph">
    <w:name w:val="List Paragraph"/>
    <w:basedOn w:val="Normal"/>
    <w:uiPriority w:val="34"/>
    <w:unhideWhenUsed/>
    <w:qFormat/>
    <w:rsid w:val="003254EB"/>
    <w:pPr>
      <w:spacing w:before="120" w:after="40"/>
      <w:ind w:left="720"/>
      <w:contextualSpacing/>
    </w:pPr>
    <w:rPr>
      <w:color w:val="auto"/>
      <w:spacing w:val="4"/>
      <w:sz w:val="22"/>
      <w:szCs w:val="22"/>
    </w:rPr>
  </w:style>
  <w:style w:type="character" w:customStyle="1" w:styleId="Heading3Char">
    <w:name w:val="Heading 3 Char"/>
    <w:basedOn w:val="DefaultParagraphFont"/>
    <w:link w:val="Heading3"/>
    <w:uiPriority w:val="9"/>
    <w:rsid w:val="003254E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254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254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54EB"/>
    <w:rPr>
      <w:rFonts w:asciiTheme="majorHAnsi" w:eastAsiaTheme="majorEastAsia" w:hAnsiTheme="majorHAnsi" w:cstheme="majorBidi"/>
      <w:color w:val="1F3763" w:themeColor="accent1" w:themeShade="7F"/>
    </w:rPr>
  </w:style>
  <w:style w:type="paragraph" w:styleId="NoSpacing">
    <w:name w:val="No Spacing"/>
    <w:uiPriority w:val="1"/>
    <w:qFormat/>
    <w:rsid w:val="003254EB"/>
    <w:rPr>
      <w:color w:val="262626" w:themeColor="text1" w:themeTint="D9"/>
    </w:rPr>
  </w:style>
  <w:style w:type="paragraph" w:customStyle="1" w:styleId="Style1">
    <w:name w:val="Style1"/>
    <w:basedOn w:val="Normal"/>
    <w:qFormat/>
    <w:rsid w:val="002E5740"/>
    <w:rPr>
      <w:rFonts w:ascii="Century Gothic" w:hAnsi="Century Gothic"/>
    </w:rPr>
  </w:style>
  <w:style w:type="character" w:styleId="Hyperlink">
    <w:name w:val="Hyperlink"/>
    <w:basedOn w:val="DefaultParagraphFont"/>
    <w:uiPriority w:val="99"/>
    <w:unhideWhenUsed/>
    <w:rsid w:val="00940A92"/>
    <w:rPr>
      <w:color w:val="0563C1" w:themeColor="hyperlink"/>
      <w:u w:val="single"/>
    </w:rPr>
  </w:style>
  <w:style w:type="character" w:styleId="FollowedHyperlink">
    <w:name w:val="FollowedHyperlink"/>
    <w:basedOn w:val="DefaultParagraphFont"/>
    <w:uiPriority w:val="99"/>
    <w:semiHidden/>
    <w:unhideWhenUsed/>
    <w:rsid w:val="00940A92"/>
    <w:rPr>
      <w:color w:val="954F72" w:themeColor="followedHyperlink"/>
      <w:u w:val="single"/>
    </w:rPr>
  </w:style>
  <w:style w:type="paragraph" w:styleId="Footer">
    <w:name w:val="footer"/>
    <w:basedOn w:val="Normal"/>
    <w:link w:val="FooterChar"/>
    <w:uiPriority w:val="99"/>
    <w:unhideWhenUsed/>
    <w:rsid w:val="00FB2C21"/>
    <w:pPr>
      <w:tabs>
        <w:tab w:val="center" w:pos="4513"/>
        <w:tab w:val="right" w:pos="9026"/>
      </w:tabs>
    </w:pPr>
  </w:style>
  <w:style w:type="character" w:customStyle="1" w:styleId="FooterChar">
    <w:name w:val="Footer Char"/>
    <w:basedOn w:val="DefaultParagraphFont"/>
    <w:link w:val="Footer"/>
    <w:uiPriority w:val="99"/>
    <w:rsid w:val="00FB2C21"/>
    <w:rPr>
      <w:color w:val="262626" w:themeColor="text1" w:themeTint="D9"/>
    </w:rPr>
  </w:style>
  <w:style w:type="character" w:styleId="PageNumber">
    <w:name w:val="page number"/>
    <w:basedOn w:val="DefaultParagraphFont"/>
    <w:uiPriority w:val="99"/>
    <w:semiHidden/>
    <w:unhideWhenUsed/>
    <w:rsid w:val="00FB2C2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2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zKH17I6V8bVy6abkPhnWsynpA==">AMUW2mWCMLQNCnb/Vd33zGSv6IWRht1AjOz1f/8GAOB/Yb7D9PdnTOmfqGqxI6S1YKy1mXkbLcUhwEeQF1XrG3h+BWYLNsM1u1YBBPk2SOD+fpm3PZ78SZs=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601</Words>
  <Characters>3430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Saraò</dc:creator>
  <cp:lastModifiedBy>Angela Saraò</cp:lastModifiedBy>
  <cp:revision>6</cp:revision>
  <dcterms:created xsi:type="dcterms:W3CDTF">2022-11-08T16:30:00Z</dcterms:created>
  <dcterms:modified xsi:type="dcterms:W3CDTF">2022-11-12T23:56:00Z</dcterms:modified>
</cp:coreProperties>
</file>