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E1E2B5" w14:textId="57999B59" w:rsidR="007950A8" w:rsidRPr="008A1DDD" w:rsidRDefault="008A1DDD">
      <w:pPr>
        <w:pStyle w:val="Titolo"/>
        <w:jc w:val="center"/>
        <w:rPr>
          <w:lang w:val="it-IT"/>
        </w:rPr>
      </w:pPr>
      <w:r w:rsidRPr="008A1DDD">
        <w:rPr>
          <w:lang w:val="it-IT"/>
        </w:rPr>
        <w:t>Monitoraggio degli APC negli EPR</w:t>
      </w:r>
    </w:p>
    <w:p w14:paraId="5EC33AA1" w14:textId="09D2D6F3" w:rsidR="007950A8" w:rsidRPr="008A1DDD" w:rsidRDefault="00E51AA5">
      <w:pPr>
        <w:pStyle w:val="Titolo"/>
        <w:jc w:val="center"/>
        <w:rPr>
          <w:lang w:val="it-IT"/>
        </w:rPr>
      </w:pPr>
      <w:bookmarkStart w:id="0" w:name="_n8noel9b8xza" w:colFirst="0" w:colLast="0"/>
      <w:bookmarkEnd w:id="0"/>
      <w:r>
        <w:rPr>
          <w:lang w:val="it-IT"/>
        </w:rPr>
        <w:t>Cosa</w:t>
      </w:r>
      <w:r w:rsidR="008A1DDD" w:rsidRPr="008A1DDD">
        <w:rPr>
          <w:lang w:val="it-IT"/>
        </w:rPr>
        <w:t>, come</w:t>
      </w:r>
      <w:r w:rsidR="00512A54">
        <w:rPr>
          <w:lang w:val="it-IT"/>
        </w:rPr>
        <w:t xml:space="preserve"> </w:t>
      </w:r>
      <w:r w:rsidR="008A1DDD" w:rsidRPr="008A1DDD">
        <w:rPr>
          <w:lang w:val="it-IT"/>
        </w:rPr>
        <w:t xml:space="preserve">e </w:t>
      </w:r>
      <w:proofErr w:type="spellStart"/>
      <w:r w:rsidR="008A1DDD" w:rsidRPr="008A1DDD">
        <w:rPr>
          <w:lang w:val="it-IT"/>
        </w:rPr>
        <w:t>perchè</w:t>
      </w:r>
      <w:proofErr w:type="spellEnd"/>
    </w:p>
    <w:p w14:paraId="462BA841" w14:textId="77777777" w:rsidR="007950A8" w:rsidRPr="008A1DDD" w:rsidRDefault="007950A8" w:rsidP="00512A54">
      <w:pPr>
        <w:rPr>
          <w:b/>
          <w:i/>
          <w:sz w:val="30"/>
          <w:szCs w:val="30"/>
          <w:lang w:val="it-IT"/>
        </w:rPr>
      </w:pPr>
      <w:bookmarkStart w:id="1" w:name="_yc8fghmckrxy" w:colFirst="0" w:colLast="0"/>
      <w:bookmarkEnd w:id="1"/>
    </w:p>
    <w:p w14:paraId="13E29737" w14:textId="77777777" w:rsidR="007950A8" w:rsidRPr="008A1DDD" w:rsidRDefault="008A1DDD">
      <w:pPr>
        <w:jc w:val="center"/>
        <w:rPr>
          <w:lang w:val="it-IT"/>
        </w:rPr>
      </w:pPr>
      <w:r w:rsidRPr="008A1DDD">
        <w:rPr>
          <w:lang w:val="it-IT"/>
        </w:rPr>
        <w:t>Giovanni De Simone</w:t>
      </w:r>
    </w:p>
    <w:p w14:paraId="76CFDC0A" w14:textId="70B6FC48" w:rsidR="007950A8" w:rsidRPr="008A1DDD" w:rsidRDefault="00E92BC9">
      <w:pPr>
        <w:jc w:val="center"/>
        <w:rPr>
          <w:i/>
          <w:lang w:val="it-IT"/>
        </w:rPr>
      </w:pPr>
      <w:r>
        <w:rPr>
          <w:i/>
          <w:lang w:val="it-IT"/>
        </w:rPr>
        <w:t xml:space="preserve">Biblioteca centrale, </w:t>
      </w:r>
      <w:r w:rsidR="008A1DDD" w:rsidRPr="008A1DDD">
        <w:rPr>
          <w:i/>
          <w:lang w:val="it-IT"/>
        </w:rPr>
        <w:t>CNR Roma</w:t>
      </w:r>
    </w:p>
    <w:p w14:paraId="1F395B47" w14:textId="77777777" w:rsidR="007950A8" w:rsidRPr="008A1DDD" w:rsidRDefault="007950A8">
      <w:pPr>
        <w:jc w:val="center"/>
        <w:rPr>
          <w:i/>
          <w:lang w:val="it-IT"/>
        </w:rPr>
      </w:pPr>
    </w:p>
    <w:p w14:paraId="766F7F24" w14:textId="77777777" w:rsidR="007950A8" w:rsidRPr="008A1DDD" w:rsidRDefault="008A1DDD">
      <w:pPr>
        <w:jc w:val="center"/>
        <w:rPr>
          <w:lang w:val="it-IT"/>
        </w:rPr>
      </w:pPr>
      <w:r w:rsidRPr="008A1DDD">
        <w:rPr>
          <w:lang w:val="it-IT"/>
        </w:rPr>
        <w:t>Silvia Giannini</w:t>
      </w:r>
    </w:p>
    <w:p w14:paraId="2E6D8BCE" w14:textId="76B8991E" w:rsidR="007950A8" w:rsidRPr="008A1DDD" w:rsidRDefault="008A1DDD">
      <w:pPr>
        <w:jc w:val="center"/>
        <w:rPr>
          <w:i/>
          <w:lang w:val="it-IT"/>
        </w:rPr>
      </w:pPr>
      <w:r w:rsidRPr="008A1DDD">
        <w:rPr>
          <w:i/>
          <w:lang w:val="it-IT"/>
        </w:rPr>
        <w:t>CNR</w:t>
      </w:r>
      <w:r w:rsidR="00E92BC9">
        <w:rPr>
          <w:i/>
          <w:lang w:val="it-IT"/>
        </w:rPr>
        <w:t>-ISTI,</w:t>
      </w:r>
      <w:r w:rsidRPr="008A1DDD">
        <w:rPr>
          <w:i/>
          <w:lang w:val="it-IT"/>
        </w:rPr>
        <w:t xml:space="preserve"> Pisa</w:t>
      </w:r>
    </w:p>
    <w:p w14:paraId="3B991DE6" w14:textId="77777777" w:rsidR="007950A8" w:rsidRPr="008A1DDD" w:rsidRDefault="007950A8">
      <w:pPr>
        <w:jc w:val="center"/>
        <w:rPr>
          <w:i/>
          <w:lang w:val="it-IT"/>
        </w:rPr>
      </w:pPr>
    </w:p>
    <w:p w14:paraId="7C1CE601" w14:textId="77777777" w:rsidR="007950A8" w:rsidRPr="008A1DDD" w:rsidRDefault="008A1DDD">
      <w:pPr>
        <w:jc w:val="center"/>
        <w:rPr>
          <w:lang w:val="it-IT"/>
        </w:rPr>
      </w:pPr>
      <w:r w:rsidRPr="008A1DDD">
        <w:rPr>
          <w:lang w:val="it-IT"/>
        </w:rPr>
        <w:t>Roberta Maggi</w:t>
      </w:r>
    </w:p>
    <w:p w14:paraId="7BB0B250" w14:textId="0CCD443F" w:rsidR="007950A8" w:rsidRPr="008A1DDD" w:rsidRDefault="008A1DDD">
      <w:pPr>
        <w:jc w:val="center"/>
        <w:rPr>
          <w:i/>
          <w:lang w:val="it-IT"/>
        </w:rPr>
      </w:pPr>
      <w:r w:rsidRPr="008A1DDD">
        <w:rPr>
          <w:i/>
          <w:lang w:val="it-IT"/>
        </w:rPr>
        <w:t>CNR</w:t>
      </w:r>
      <w:r w:rsidR="00E92BC9">
        <w:rPr>
          <w:i/>
          <w:lang w:val="it-IT"/>
        </w:rPr>
        <w:t xml:space="preserve">-IMATI, </w:t>
      </w:r>
      <w:r w:rsidRPr="008A1DDD">
        <w:rPr>
          <w:i/>
          <w:lang w:val="it-IT"/>
        </w:rPr>
        <w:t>Genova</w:t>
      </w:r>
    </w:p>
    <w:p w14:paraId="44B5B44D" w14:textId="77777777" w:rsidR="007950A8" w:rsidRPr="008A1DDD" w:rsidRDefault="007950A8">
      <w:pPr>
        <w:jc w:val="center"/>
        <w:rPr>
          <w:i/>
          <w:lang w:val="it-IT"/>
        </w:rPr>
      </w:pPr>
    </w:p>
    <w:p w14:paraId="09D2D6F3" w14:textId="77777777" w:rsidR="007950A8" w:rsidRPr="008A1DDD" w:rsidRDefault="008A1DDD">
      <w:pPr>
        <w:jc w:val="center"/>
        <w:rPr>
          <w:lang w:val="it-IT"/>
        </w:rPr>
      </w:pPr>
      <w:r w:rsidRPr="008A1DDD">
        <w:rPr>
          <w:lang w:val="it-IT"/>
        </w:rPr>
        <w:t>Emanuela Secinaro</w:t>
      </w:r>
    </w:p>
    <w:p w14:paraId="788CEE1B" w14:textId="34C1B837" w:rsidR="007950A8" w:rsidRPr="008A1DDD" w:rsidRDefault="008A1DDD">
      <w:pPr>
        <w:jc w:val="center"/>
        <w:rPr>
          <w:i/>
          <w:lang w:val="it-IT"/>
        </w:rPr>
      </w:pPr>
      <w:proofErr w:type="spellStart"/>
      <w:r w:rsidRPr="008A1DDD">
        <w:rPr>
          <w:i/>
          <w:lang w:val="it-IT"/>
        </w:rPr>
        <w:t>INR</w:t>
      </w:r>
      <w:r w:rsidR="00E92BC9">
        <w:rPr>
          <w:i/>
          <w:lang w:val="it-IT"/>
        </w:rPr>
        <w:t>i</w:t>
      </w:r>
      <w:r w:rsidRPr="008A1DDD">
        <w:rPr>
          <w:i/>
          <w:lang w:val="it-IT"/>
        </w:rPr>
        <w:t>M</w:t>
      </w:r>
      <w:proofErr w:type="spellEnd"/>
      <w:r w:rsidR="00E92BC9">
        <w:rPr>
          <w:i/>
          <w:lang w:val="it-IT"/>
        </w:rPr>
        <w:t>, Torino</w:t>
      </w:r>
    </w:p>
    <w:p w14:paraId="51978D19" w14:textId="77777777" w:rsidR="007950A8" w:rsidRPr="008A1DDD" w:rsidRDefault="007950A8">
      <w:pPr>
        <w:rPr>
          <w:i/>
          <w:lang w:val="it-IT"/>
        </w:rPr>
      </w:pPr>
    </w:p>
    <w:p w14:paraId="3E0CEBB2" w14:textId="77777777" w:rsidR="007950A8" w:rsidRPr="008A1DDD" w:rsidRDefault="008A1DDD">
      <w:pPr>
        <w:jc w:val="center"/>
        <w:rPr>
          <w:i/>
          <w:lang w:val="it-IT"/>
        </w:rPr>
      </w:pPr>
      <w:r w:rsidRPr="008A1DDD">
        <w:rPr>
          <w:i/>
          <w:lang w:val="it-IT"/>
        </w:rPr>
        <w:t xml:space="preserve">Gruppo di lavoro Open Science della </w:t>
      </w:r>
      <w:proofErr w:type="spellStart"/>
      <w:r w:rsidRPr="008A1DDD">
        <w:rPr>
          <w:i/>
          <w:lang w:val="it-IT"/>
        </w:rPr>
        <w:t>ConPER</w:t>
      </w:r>
      <w:proofErr w:type="spellEnd"/>
    </w:p>
    <w:p w14:paraId="10BAEFEC" w14:textId="77777777" w:rsidR="007950A8" w:rsidRPr="008A1DDD" w:rsidRDefault="008A1DDD">
      <w:pPr>
        <w:jc w:val="center"/>
        <w:rPr>
          <w:i/>
          <w:lang w:val="it-IT"/>
        </w:rPr>
      </w:pPr>
      <w:r w:rsidRPr="008A1DDD">
        <w:rPr>
          <w:i/>
          <w:lang w:val="it-IT"/>
        </w:rPr>
        <w:t>contatto: giovanni.desimone@cnr.it</w:t>
      </w:r>
    </w:p>
    <w:p w14:paraId="6E92E58E" w14:textId="77777777" w:rsidR="007950A8" w:rsidRPr="008A1DDD" w:rsidRDefault="007950A8">
      <w:pPr>
        <w:rPr>
          <w:lang w:val="it-IT"/>
        </w:rPr>
      </w:pPr>
    </w:p>
    <w:p w14:paraId="111AB44D" w14:textId="549E4A6A" w:rsidR="007950A8" w:rsidRPr="008A1DDD" w:rsidRDefault="008A1DDD">
      <w:pPr>
        <w:pStyle w:val="Titolo1"/>
        <w:rPr>
          <w:lang w:val="it-IT"/>
        </w:rPr>
      </w:pPr>
      <w:bookmarkStart w:id="2" w:name="_hzs7kgvfwxqq" w:colFirst="0" w:colLast="0"/>
      <w:bookmarkEnd w:id="2"/>
      <w:r w:rsidRPr="008A1DDD">
        <w:rPr>
          <w:lang w:val="it-IT"/>
        </w:rPr>
        <w:t xml:space="preserve">1. </w:t>
      </w:r>
      <w:r w:rsidR="00CF05BD">
        <w:rPr>
          <w:lang w:val="it-IT"/>
        </w:rPr>
        <w:t>Riassunto esecutivo</w:t>
      </w:r>
    </w:p>
    <w:p w14:paraId="004802C0" w14:textId="77777777" w:rsidR="007950A8" w:rsidRPr="00512A54" w:rsidRDefault="008A1DDD" w:rsidP="00512A54">
      <w:pPr>
        <w:jc w:val="both"/>
        <w:rPr>
          <w:lang w:val="it-IT"/>
        </w:rPr>
      </w:pPr>
      <w:r w:rsidRPr="00512A54">
        <w:rPr>
          <w:lang w:val="it-IT"/>
        </w:rPr>
        <w:t>Il progressivo accostarsi all’accesso aperto, incentivato dalla comunità scientifica europea ha determinato diversi cambiamenti sia nel mercato editoriale sia nei comportamenti degli autori. Appare ora necessario dotarsi, anche nella realtà italiana, di strumenti omogenei di monitoraggio e valutazione delle pubblicazioni in open access, in particolare dal punto di vista dei costi sostenuti.</w:t>
      </w:r>
    </w:p>
    <w:p w14:paraId="659E3399" w14:textId="4601F7BA" w:rsidR="007950A8" w:rsidRPr="00512A54" w:rsidRDefault="008A1DDD" w:rsidP="00512A54">
      <w:pPr>
        <w:jc w:val="both"/>
        <w:rPr>
          <w:lang w:val="it-IT"/>
        </w:rPr>
      </w:pPr>
      <w:r w:rsidRPr="00512A54">
        <w:rPr>
          <w:lang w:val="it-IT"/>
        </w:rPr>
        <w:t xml:space="preserve">In Italia, il gruppo di lavoro Open Science della </w:t>
      </w:r>
      <w:proofErr w:type="spellStart"/>
      <w:r w:rsidRPr="00512A54">
        <w:rPr>
          <w:lang w:val="it-IT"/>
        </w:rPr>
        <w:t>ConPER</w:t>
      </w:r>
      <w:proofErr w:type="spellEnd"/>
      <w:r w:rsidRPr="00512A54">
        <w:rPr>
          <w:lang w:val="it-IT"/>
        </w:rPr>
        <w:t xml:space="preserve"> ha esaminato le opportunità offerte a livello europeo per questa attività, confrontandole con il case study del CNR. In questo documento viene proposta nel dettaglio l’iniziativa </w:t>
      </w:r>
      <w:proofErr w:type="spellStart"/>
      <w:r w:rsidRPr="00512A54">
        <w:rPr>
          <w:lang w:val="it-IT"/>
        </w:rPr>
        <w:t>OpenAPC</w:t>
      </w:r>
      <w:proofErr w:type="spellEnd"/>
      <w:r w:rsidRPr="00512A54">
        <w:rPr>
          <w:lang w:val="it-IT"/>
        </w:rPr>
        <w:t xml:space="preserve"> per il monitoraggio delle spese APC negli Enti di Ricerca, con l’obiettivo di raccogliere in modo </w:t>
      </w:r>
      <w:r w:rsidR="00480915">
        <w:rPr>
          <w:lang w:val="it-IT"/>
        </w:rPr>
        <w:t>uniforme</w:t>
      </w:r>
      <w:r w:rsidRPr="00512A54">
        <w:rPr>
          <w:lang w:val="it-IT"/>
        </w:rPr>
        <w:t xml:space="preserve"> e sistematico i dati relativi a queste spese.</w:t>
      </w:r>
    </w:p>
    <w:p w14:paraId="012E691A" w14:textId="77777777" w:rsidR="007950A8" w:rsidRPr="008A1DDD" w:rsidRDefault="008A1DDD">
      <w:pPr>
        <w:pStyle w:val="Titolo1"/>
        <w:rPr>
          <w:lang w:val="it-IT"/>
        </w:rPr>
      </w:pPr>
      <w:bookmarkStart w:id="3" w:name="_neh8ugebb89d" w:colFirst="0" w:colLast="0"/>
      <w:bookmarkEnd w:id="3"/>
      <w:r w:rsidRPr="008A1DDD">
        <w:rPr>
          <w:lang w:val="it-IT"/>
        </w:rPr>
        <w:t>2. Introduzione</w:t>
      </w:r>
    </w:p>
    <w:p w14:paraId="074C2285" w14:textId="793069CD" w:rsidR="007950A8" w:rsidRPr="008A1DDD" w:rsidRDefault="008A1DDD" w:rsidP="0001681C">
      <w:pPr>
        <w:jc w:val="both"/>
        <w:rPr>
          <w:lang w:val="it-IT"/>
        </w:rPr>
      </w:pPr>
      <w:r w:rsidRPr="008A1DDD">
        <w:rPr>
          <w:lang w:val="it-IT"/>
        </w:rPr>
        <w:t>L'editoria scientifica è un mercato dal volume non facilmente calcolabile che si colloca fra i 10 e i 20 miliardi di euro per anno su scala mondiale. La spesa annuale in Italia per gli abbonamenti alle riviste scientifiche supera gli 80 milioni di euro</w:t>
      </w:r>
      <w:r w:rsidR="00480915">
        <w:rPr>
          <w:rStyle w:val="Rimandonotaapidipagina"/>
          <w:lang w:val="it-IT"/>
        </w:rPr>
        <w:footnoteReference w:id="1"/>
      </w:r>
      <w:r w:rsidR="00480915">
        <w:rPr>
          <w:lang w:val="it-IT"/>
        </w:rPr>
        <w:t xml:space="preserve">. </w:t>
      </w:r>
      <w:r w:rsidRPr="008A1DDD">
        <w:rPr>
          <w:lang w:val="it-IT"/>
        </w:rPr>
        <w:t xml:space="preserve">Il mercato degli abbonamenti è controllato da cinque editori (Elsevier, Taylor &amp; Francis, </w:t>
      </w:r>
      <w:r w:rsidRPr="0001681C">
        <w:rPr>
          <w:lang w:val="it-IT"/>
        </w:rPr>
        <w:t>Wiley, American Chemical Society e Springer) che detengono l'80% delle quote di mercato sia in volume monetario sia in numero di articoli pubblicati. Un tale mercato oligopolistico si intreccia con</w:t>
      </w:r>
      <w:r w:rsidR="00480915" w:rsidRPr="0001681C">
        <w:rPr>
          <w:lang w:val="it-IT"/>
        </w:rPr>
        <w:t xml:space="preserve"> i criteri di</w:t>
      </w:r>
      <w:r w:rsidRPr="0001681C">
        <w:rPr>
          <w:lang w:val="it-IT"/>
        </w:rPr>
        <w:t xml:space="preserve"> valutazione della ricerca</w:t>
      </w:r>
      <w:r w:rsidR="00480915" w:rsidRPr="0001681C">
        <w:rPr>
          <w:lang w:val="it-IT"/>
        </w:rPr>
        <w:t xml:space="preserve">, basati su </w:t>
      </w:r>
      <w:r w:rsidRPr="0001681C">
        <w:rPr>
          <w:lang w:val="it-IT"/>
        </w:rPr>
        <w:t xml:space="preserve">indicatori </w:t>
      </w:r>
      <w:proofErr w:type="spellStart"/>
      <w:r w:rsidRPr="0001681C">
        <w:rPr>
          <w:lang w:val="it-IT"/>
        </w:rPr>
        <w:t>bibliometrici</w:t>
      </w:r>
      <w:proofErr w:type="spellEnd"/>
      <w:r w:rsidRPr="0001681C">
        <w:rPr>
          <w:lang w:val="it-IT"/>
        </w:rPr>
        <w:t xml:space="preserve"> legati al prestigio della rivista, primo fra</w:t>
      </w:r>
      <w:r w:rsidR="00480915" w:rsidRPr="0001681C">
        <w:rPr>
          <w:lang w:val="it-IT"/>
        </w:rPr>
        <w:t xml:space="preserve"> tutti</w:t>
      </w:r>
      <w:r w:rsidRPr="0001681C">
        <w:rPr>
          <w:lang w:val="it-IT"/>
        </w:rPr>
        <w:t xml:space="preserve"> </w:t>
      </w:r>
      <w:r w:rsidR="00480915" w:rsidRPr="0001681C">
        <w:rPr>
          <w:lang w:val="it-IT"/>
        </w:rPr>
        <w:t>l’</w:t>
      </w:r>
      <w:r w:rsidRPr="0001681C">
        <w:rPr>
          <w:lang w:val="it-IT"/>
        </w:rPr>
        <w:t xml:space="preserve">Impact </w:t>
      </w:r>
      <w:proofErr w:type="spellStart"/>
      <w:r w:rsidRPr="0001681C">
        <w:rPr>
          <w:lang w:val="it-IT"/>
        </w:rPr>
        <w:t>Factor</w:t>
      </w:r>
      <w:proofErr w:type="spellEnd"/>
      <w:r w:rsidR="00480915" w:rsidRPr="0001681C">
        <w:rPr>
          <w:lang w:val="it-IT"/>
        </w:rPr>
        <w:t>. Questo meccanismo genera un sistema d</w:t>
      </w:r>
      <w:r w:rsidRPr="0001681C">
        <w:rPr>
          <w:lang w:val="it-IT"/>
        </w:rPr>
        <w:t xml:space="preserve">ifficile da aprire a </w:t>
      </w:r>
      <w:r w:rsidR="00480915" w:rsidRPr="0001681C">
        <w:rPr>
          <w:lang w:val="it-IT"/>
        </w:rPr>
        <w:t xml:space="preserve">una nuova </w:t>
      </w:r>
      <w:r w:rsidR="004D5F39" w:rsidRPr="0001681C">
        <w:rPr>
          <w:lang w:val="it-IT"/>
        </w:rPr>
        <w:t xml:space="preserve">editoria sostenibile e di </w:t>
      </w:r>
      <w:r w:rsidRPr="0001681C">
        <w:rPr>
          <w:lang w:val="it-IT"/>
        </w:rPr>
        <w:t>qualità</w:t>
      </w:r>
      <w:r w:rsidR="004D5F39" w:rsidRPr="0001681C">
        <w:rPr>
          <w:lang w:val="it-IT"/>
        </w:rPr>
        <w:t>.</w:t>
      </w:r>
      <w:r w:rsidRPr="0001681C">
        <w:rPr>
          <w:lang w:val="it-IT"/>
        </w:rPr>
        <w:t xml:space="preserve"> Il movimento della scienza aperta (formalizzato </w:t>
      </w:r>
      <w:r w:rsidRPr="0001681C">
        <w:rPr>
          <w:lang w:val="it-IT"/>
        </w:rPr>
        <w:lastRenderedPageBreak/>
        <w:t>in Italia dal Piano Nazionale Scienza Aperta</w:t>
      </w:r>
      <w:r w:rsidR="004D5F39" w:rsidRPr="0001681C">
        <w:rPr>
          <w:rStyle w:val="Rimandonotaapidipagina"/>
          <w:lang w:val="it-IT"/>
        </w:rPr>
        <w:footnoteReference w:id="2"/>
      </w:r>
      <w:r w:rsidRPr="0001681C">
        <w:rPr>
          <w:lang w:val="it-IT"/>
        </w:rPr>
        <w:t xml:space="preserve"> pubblicato a giugno 2022 in attuazione </w:t>
      </w:r>
      <w:r w:rsidR="004D5F39" w:rsidRPr="0001681C">
        <w:rPr>
          <w:color w:val="040404"/>
          <w:highlight w:val="white"/>
          <w:lang w:val="it-IT"/>
        </w:rPr>
        <w:t>de</w:t>
      </w:r>
      <w:r w:rsidRPr="0001681C">
        <w:rPr>
          <w:color w:val="040404"/>
          <w:highlight w:val="white"/>
          <w:lang w:val="it-IT"/>
        </w:rPr>
        <w:t>l Decreto Ministeriale n. 268 del 28 febbraio 2022</w:t>
      </w:r>
      <w:r w:rsidRPr="0001681C">
        <w:rPr>
          <w:lang w:val="it-IT"/>
        </w:rPr>
        <w:t>) si propone di intervenire sull'accesso libero all'informazione prodotta con finanziamenti pubblici, sui criteri di valutazione</w:t>
      </w:r>
      <w:r w:rsidR="004D5F39" w:rsidRPr="0001681C">
        <w:rPr>
          <w:lang w:val="it-IT"/>
        </w:rPr>
        <w:t xml:space="preserve"> </w:t>
      </w:r>
      <w:r w:rsidRPr="0001681C">
        <w:rPr>
          <w:lang w:val="it-IT"/>
        </w:rPr>
        <w:t>e sulla formazione e informazione degli attori coinvolti nella ricerca.</w:t>
      </w:r>
    </w:p>
    <w:p w14:paraId="3921C249" w14:textId="384AA716" w:rsidR="0001681C" w:rsidRPr="008A1DDD" w:rsidRDefault="008A1DDD" w:rsidP="00E92BC9">
      <w:pPr>
        <w:spacing w:before="120"/>
        <w:jc w:val="both"/>
        <w:rPr>
          <w:lang w:val="it-IT"/>
        </w:rPr>
      </w:pPr>
      <w:r w:rsidRPr="008A1DDD">
        <w:rPr>
          <w:lang w:val="it-IT"/>
        </w:rPr>
        <w:t xml:space="preserve">Dal 2019 </w:t>
      </w:r>
      <w:r w:rsidR="0001681C">
        <w:rPr>
          <w:lang w:val="it-IT"/>
        </w:rPr>
        <w:t>sono state lanciate alcune</w:t>
      </w:r>
      <w:r w:rsidRPr="008A1DDD">
        <w:rPr>
          <w:lang w:val="it-IT"/>
        </w:rPr>
        <w:t xml:space="preserve"> iniziative (OA2020, </w:t>
      </w:r>
      <w:proofErr w:type="spellStart"/>
      <w:r w:rsidRPr="008A1DDD">
        <w:rPr>
          <w:lang w:val="it-IT"/>
        </w:rPr>
        <w:t>PlanS</w:t>
      </w:r>
      <w:proofErr w:type="spellEnd"/>
      <w:r w:rsidRPr="008A1DDD">
        <w:rPr>
          <w:lang w:val="it-IT"/>
        </w:rPr>
        <w:t xml:space="preserve">, ORE, </w:t>
      </w:r>
      <w:proofErr w:type="spellStart"/>
      <w:r w:rsidRPr="008A1DDD">
        <w:rPr>
          <w:lang w:val="it-IT"/>
        </w:rPr>
        <w:t>etc</w:t>
      </w:r>
      <w:proofErr w:type="spellEnd"/>
      <w:r w:rsidRPr="008A1DDD">
        <w:rPr>
          <w:lang w:val="it-IT"/>
        </w:rPr>
        <w:t xml:space="preserve">) che hanno </w:t>
      </w:r>
      <w:r w:rsidR="0001681C">
        <w:rPr>
          <w:lang w:val="it-IT"/>
        </w:rPr>
        <w:t>proposto</w:t>
      </w:r>
      <w:r w:rsidRPr="008A1DDD">
        <w:rPr>
          <w:lang w:val="it-IT"/>
        </w:rPr>
        <w:t xml:space="preserve"> modelli alternativi agli abbonamenti aventi come obiettivo la transizione ad un mercato meno rigido [</w:t>
      </w:r>
      <w:proofErr w:type="spellStart"/>
      <w:r w:rsidRPr="008A1DDD">
        <w:rPr>
          <w:lang w:val="it-IT"/>
        </w:rPr>
        <w:t>ref</w:t>
      </w:r>
      <w:proofErr w:type="spellEnd"/>
      <w:r w:rsidRPr="008A1DDD">
        <w:rPr>
          <w:lang w:val="it-IT"/>
        </w:rPr>
        <w:t>. A.F. Pozzolo presentazione]. La CRUI e gli EPR hanno aderito ad alcuni di questi principi lanciando, fra l'altro, una campagna contrattuale indirizzata verso gli accordi cosiddetti trasformativi (</w:t>
      </w:r>
      <w:proofErr w:type="spellStart"/>
      <w:r w:rsidRPr="008A1DDD">
        <w:rPr>
          <w:lang w:val="it-IT"/>
        </w:rPr>
        <w:t>Transformative</w:t>
      </w:r>
      <w:proofErr w:type="spellEnd"/>
      <w:r w:rsidRPr="008A1DDD">
        <w:rPr>
          <w:lang w:val="it-IT"/>
        </w:rPr>
        <w:t xml:space="preserve"> Agreements</w:t>
      </w:r>
      <w:r w:rsidR="004D5F39">
        <w:rPr>
          <w:lang w:val="it-IT"/>
        </w:rPr>
        <w:t xml:space="preserve"> - </w:t>
      </w:r>
      <w:r w:rsidRPr="008A1DDD">
        <w:rPr>
          <w:lang w:val="it-IT"/>
        </w:rPr>
        <w:t xml:space="preserve">TA). </w:t>
      </w:r>
      <w:r w:rsidR="0001681C" w:rsidRPr="008A1DDD">
        <w:rPr>
          <w:lang w:val="it-IT"/>
        </w:rPr>
        <w:t xml:space="preserve">Il modello TA è stato definito nell’ambito della </w:t>
      </w:r>
      <w:r w:rsidR="0001681C" w:rsidRPr="0001681C">
        <w:rPr>
          <w:lang w:val="it-IT"/>
        </w:rPr>
        <w:t xml:space="preserve">14th </w:t>
      </w:r>
      <w:proofErr w:type="spellStart"/>
      <w:r w:rsidR="0001681C" w:rsidRPr="0001681C">
        <w:rPr>
          <w:lang w:val="it-IT"/>
        </w:rPr>
        <w:t>Berlin</w:t>
      </w:r>
      <w:proofErr w:type="spellEnd"/>
      <w:r w:rsidR="0001681C" w:rsidRPr="0001681C">
        <w:rPr>
          <w:lang w:val="it-IT"/>
        </w:rPr>
        <w:t xml:space="preserve"> Open Access Conference</w:t>
      </w:r>
      <w:r w:rsidR="0001681C" w:rsidRPr="008A1DDD">
        <w:rPr>
          <w:lang w:val="it-IT"/>
        </w:rPr>
        <w:t xml:space="preserve">. Il </w:t>
      </w:r>
      <w:proofErr w:type="spellStart"/>
      <w:r w:rsidR="0001681C" w:rsidRPr="0001681C">
        <w:rPr>
          <w:lang w:val="it-IT"/>
        </w:rPr>
        <w:t>Final</w:t>
      </w:r>
      <w:proofErr w:type="spellEnd"/>
      <w:r w:rsidR="0001681C" w:rsidRPr="0001681C">
        <w:rPr>
          <w:lang w:val="it-IT"/>
        </w:rPr>
        <w:t xml:space="preserve"> Statement</w:t>
      </w:r>
      <w:r w:rsidR="0001681C" w:rsidRPr="008A1DDD">
        <w:rPr>
          <w:lang w:val="it-IT"/>
        </w:rPr>
        <w:t xml:space="preserve"> della conferenza stabiliva alcune peculiarità dei TA come la transitorietà, la neutralità dei costi, la trasparenza degli accordi e dei costi stessi.</w:t>
      </w:r>
    </w:p>
    <w:p w14:paraId="0ED4FB32" w14:textId="5CFE6274" w:rsidR="007950A8" w:rsidRPr="008A1DDD" w:rsidRDefault="008A1DDD" w:rsidP="00E92BC9">
      <w:pPr>
        <w:spacing w:before="120"/>
        <w:jc w:val="both"/>
        <w:rPr>
          <w:lang w:val="it-IT"/>
        </w:rPr>
      </w:pPr>
      <w:r w:rsidRPr="008A1DDD">
        <w:rPr>
          <w:lang w:val="it-IT"/>
        </w:rPr>
        <w:t xml:space="preserve">I TA </w:t>
      </w:r>
      <w:r w:rsidR="0001681C">
        <w:rPr>
          <w:lang w:val="it-IT"/>
        </w:rPr>
        <w:t>si basano su</w:t>
      </w:r>
      <w:r w:rsidRPr="008A1DDD">
        <w:rPr>
          <w:lang w:val="it-IT"/>
        </w:rPr>
        <w:t xml:space="preserve"> uno spostamento di fondi (idealmente a costo aggiuntivo zero, ma in pratica con extra costi fra il 5% e il 10%, dall'abbonamento (Read) alla pubblicazione (</w:t>
      </w:r>
      <w:proofErr w:type="spellStart"/>
      <w:r w:rsidRPr="008A1DDD">
        <w:rPr>
          <w:lang w:val="it-IT"/>
        </w:rPr>
        <w:t>Publish</w:t>
      </w:r>
      <w:proofErr w:type="spellEnd"/>
      <w:r w:rsidRPr="008A1DDD">
        <w:rPr>
          <w:lang w:val="it-IT"/>
        </w:rPr>
        <w:t>) dietro pagamento di un diritto di pubblicazione in accesso aperto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APC). Nel caso di alcuni contratti esiste un limite annuale al numero di articoli pubblicabili ad accesso aperto e coperti dagli importi contrattuali "token". Il termine TA si riferisce ad un impegno (del tutto morale) di transire da un modello ibrido (nel quale si paga per leggere ma anche per pubblicare in accesso aperto) ad un modello non ibrido</w:t>
      </w:r>
      <w:r w:rsidR="004D5F39">
        <w:rPr>
          <w:lang w:val="it-IT"/>
        </w:rPr>
        <w:t xml:space="preserve"> in cui l’investimento delle istituzioni si sposta da</w:t>
      </w:r>
      <w:r w:rsidR="0001681C">
        <w:rPr>
          <w:lang w:val="it-IT"/>
        </w:rPr>
        <w:t>gli abbonamenti per la lettura</w:t>
      </w:r>
      <w:r w:rsidR="004D5F39">
        <w:rPr>
          <w:lang w:val="it-IT"/>
        </w:rPr>
        <w:t xml:space="preserve"> alla pubblicazione in accesso aperto.</w:t>
      </w:r>
    </w:p>
    <w:p w14:paraId="1BB56D75" w14:textId="7DB946C1" w:rsidR="007950A8" w:rsidRPr="008A1DDD" w:rsidRDefault="008A1DDD" w:rsidP="00E92BC9">
      <w:pPr>
        <w:spacing w:before="120"/>
        <w:jc w:val="both"/>
        <w:rPr>
          <w:lang w:val="it-IT"/>
        </w:rPr>
      </w:pPr>
      <w:r w:rsidRPr="008A1DDD">
        <w:rPr>
          <w:lang w:val="it-IT"/>
        </w:rPr>
        <w:t xml:space="preserve">Lo sforzo del passaggio ad un modello </w:t>
      </w:r>
      <w:proofErr w:type="spellStart"/>
      <w:r w:rsidRPr="008A1DDD">
        <w:rPr>
          <w:lang w:val="it-IT"/>
        </w:rPr>
        <w:t>Publish</w:t>
      </w:r>
      <w:proofErr w:type="spellEnd"/>
      <w:r w:rsidRPr="008A1DDD">
        <w:rPr>
          <w:lang w:val="it-IT"/>
        </w:rPr>
        <w:t xml:space="preserve"> (inizialmente </w:t>
      </w:r>
      <w:proofErr w:type="spellStart"/>
      <w:r w:rsidRPr="008A1DDD">
        <w:rPr>
          <w:lang w:val="it-IT"/>
        </w:rPr>
        <w:t>piu'</w:t>
      </w:r>
      <w:proofErr w:type="spellEnd"/>
      <w:r w:rsidRPr="008A1DDD">
        <w:rPr>
          <w:lang w:val="it-IT"/>
        </w:rPr>
        <w:t xml:space="preserve"> oneroso di quello Read) </w:t>
      </w:r>
      <w:proofErr w:type="spellStart"/>
      <w:proofErr w:type="gramStart"/>
      <w:r w:rsidRPr="008A1DDD">
        <w:rPr>
          <w:lang w:val="it-IT"/>
        </w:rPr>
        <w:t>e'</w:t>
      </w:r>
      <w:proofErr w:type="spellEnd"/>
      <w:proofErr w:type="gramEnd"/>
      <w:r w:rsidRPr="008A1DDD">
        <w:rPr>
          <w:lang w:val="it-IT"/>
        </w:rPr>
        <w:t xml:space="preserve"> motivato dall' assunzione che il modello </w:t>
      </w:r>
      <w:proofErr w:type="spellStart"/>
      <w:r w:rsidRPr="008A1DDD">
        <w:rPr>
          <w:lang w:val="it-IT"/>
        </w:rPr>
        <w:t>Publish</w:t>
      </w:r>
      <w:proofErr w:type="spellEnd"/>
      <w:r w:rsidRPr="008A1DDD">
        <w:rPr>
          <w:lang w:val="it-IT"/>
        </w:rPr>
        <w:t xml:space="preserve"> costituisca un mercato meno rigido di quello degli abbonamenti e come tale, dopo un periodo di tempo di riequilibrio, consenta a nuovi editori di qualità di occupare quote di mercato attualmente in mano ai cinque editori oligopolisti.</w:t>
      </w:r>
    </w:p>
    <w:p w14:paraId="1A34CF23" w14:textId="783333E4" w:rsidR="007950A8" w:rsidRPr="008A1DDD" w:rsidRDefault="009376AB">
      <w:pPr>
        <w:pStyle w:val="Titolo1"/>
        <w:rPr>
          <w:lang w:val="it-IT"/>
        </w:rPr>
      </w:pPr>
      <w:bookmarkStart w:id="4" w:name="_3u7fsws49ka9" w:colFirst="0" w:colLast="0"/>
      <w:bookmarkEnd w:id="4"/>
      <w:r>
        <w:rPr>
          <w:lang w:val="it-IT"/>
        </w:rPr>
        <w:t>3</w:t>
      </w:r>
      <w:r w:rsidR="008A1DDD" w:rsidRPr="008A1DDD">
        <w:rPr>
          <w:lang w:val="it-IT"/>
        </w:rPr>
        <w:t>. Motivazione del monitoraggio</w:t>
      </w:r>
    </w:p>
    <w:p w14:paraId="76EA914D" w14:textId="77777777" w:rsidR="00813080" w:rsidRDefault="008A1DDD">
      <w:pPr>
        <w:jc w:val="both"/>
        <w:rPr>
          <w:lang w:val="it-IT"/>
        </w:rPr>
      </w:pPr>
      <w:r w:rsidRPr="008A1DDD">
        <w:rPr>
          <w:lang w:val="it-IT"/>
        </w:rPr>
        <w:t xml:space="preserve">L' ipotesi che il modello </w:t>
      </w:r>
      <w:proofErr w:type="spellStart"/>
      <w:r w:rsidRPr="008A1DDD">
        <w:rPr>
          <w:lang w:val="it-IT"/>
        </w:rPr>
        <w:t>Publish</w:t>
      </w:r>
      <w:proofErr w:type="spellEnd"/>
      <w:r w:rsidRPr="008A1DDD">
        <w:rPr>
          <w:lang w:val="it-IT"/>
        </w:rPr>
        <w:t xml:space="preserve"> sia meno rigido di un modello ad abbonamento Read </w:t>
      </w:r>
      <w:r w:rsidR="00223301">
        <w:rPr>
          <w:lang w:val="it-IT"/>
        </w:rPr>
        <w:t>è</w:t>
      </w:r>
      <w:r w:rsidRPr="008A1DDD">
        <w:rPr>
          <w:lang w:val="it-IT"/>
        </w:rPr>
        <w:t xml:space="preserve"> basata sul concetto che l'Autore, quando pubblica su una rivista ad abbonamento, trasferisca la sua pubblicazione alla rivista realizzando un </w:t>
      </w:r>
      <w:proofErr w:type="spellStart"/>
      <w:r w:rsidRPr="008A1DDD">
        <w:rPr>
          <w:lang w:val="it-IT"/>
        </w:rPr>
        <w:t>micromonopolio</w:t>
      </w:r>
      <w:proofErr w:type="spellEnd"/>
      <w:r w:rsidRPr="008A1DDD">
        <w:rPr>
          <w:lang w:val="it-IT"/>
        </w:rPr>
        <w:t xml:space="preserve">. Il lettore, infatti, </w:t>
      </w:r>
      <w:r w:rsidR="0001681C">
        <w:rPr>
          <w:lang w:val="it-IT"/>
        </w:rPr>
        <w:t>è</w:t>
      </w:r>
      <w:r w:rsidRPr="008A1DDD">
        <w:rPr>
          <w:lang w:val="it-IT"/>
        </w:rPr>
        <w:t xml:space="preserve"> costretto ad acquistare tutti gli articoli pubblicati sull' argomento. Nel modello </w:t>
      </w:r>
      <w:proofErr w:type="spellStart"/>
      <w:r w:rsidRPr="008A1DDD">
        <w:rPr>
          <w:lang w:val="it-IT"/>
        </w:rPr>
        <w:t>Publish</w:t>
      </w:r>
      <w:proofErr w:type="spellEnd"/>
      <w:r w:rsidRPr="008A1DDD">
        <w:rPr>
          <w:lang w:val="it-IT"/>
        </w:rPr>
        <w:t>, invece, l'Autore pu</w:t>
      </w:r>
      <w:r w:rsidR="00223301">
        <w:rPr>
          <w:lang w:val="it-IT"/>
        </w:rPr>
        <w:t>ò</w:t>
      </w:r>
      <w:r w:rsidRPr="008A1DDD">
        <w:rPr>
          <w:lang w:val="it-IT"/>
        </w:rPr>
        <w:t xml:space="preserve"> decidere dove pubblicare sulla base del costo APC e della autorevolezza della rivista. Una volta pubblicato, </w:t>
      </w:r>
      <w:proofErr w:type="gramStart"/>
      <w:r w:rsidRPr="008A1DDD">
        <w:rPr>
          <w:lang w:val="it-IT"/>
        </w:rPr>
        <w:t>l' articolo</w:t>
      </w:r>
      <w:proofErr w:type="gramEnd"/>
      <w:r w:rsidRPr="008A1DDD">
        <w:rPr>
          <w:lang w:val="it-IT"/>
        </w:rPr>
        <w:t xml:space="preserve"> </w:t>
      </w:r>
      <w:proofErr w:type="spellStart"/>
      <w:r w:rsidRPr="008A1DDD">
        <w:rPr>
          <w:lang w:val="it-IT"/>
        </w:rPr>
        <w:t>sara'</w:t>
      </w:r>
      <w:proofErr w:type="spellEnd"/>
      <w:r w:rsidRPr="008A1DDD">
        <w:rPr>
          <w:lang w:val="it-IT"/>
        </w:rPr>
        <w:t xml:space="preserve"> ad accesso aperto. Il modello </w:t>
      </w:r>
      <w:proofErr w:type="spellStart"/>
      <w:r w:rsidRPr="008A1DDD">
        <w:rPr>
          <w:lang w:val="it-IT"/>
        </w:rPr>
        <w:t>Publish</w:t>
      </w:r>
      <w:proofErr w:type="spellEnd"/>
      <w:r w:rsidRPr="008A1DDD">
        <w:rPr>
          <w:lang w:val="it-IT"/>
        </w:rPr>
        <w:t xml:space="preserve"> dovrebbe quindi favorire un mercato meno rigido di quello del modello ad abbonamento.</w:t>
      </w:r>
      <w:r w:rsidR="0001681C">
        <w:rPr>
          <w:lang w:val="it-IT"/>
        </w:rPr>
        <w:t xml:space="preserve"> Tuttavia, </w:t>
      </w:r>
      <w:r w:rsidR="008C4960">
        <w:rPr>
          <w:lang w:val="it-IT"/>
        </w:rPr>
        <w:t xml:space="preserve">si tratta di un’ipotesi basata su teorie economiche e le prime valutazioni mostrano che con il </w:t>
      </w:r>
      <w:r w:rsidR="0001681C">
        <w:rPr>
          <w:lang w:val="it-IT"/>
        </w:rPr>
        <w:t xml:space="preserve">modello TA </w:t>
      </w:r>
      <w:r w:rsidR="0001681C" w:rsidRPr="008A1DDD">
        <w:rPr>
          <w:lang w:val="it-IT"/>
        </w:rPr>
        <w:t>i costi non sono rimasti neutrali, sono aumentati nel tempo senza alcun controllo</w:t>
      </w:r>
      <w:r w:rsidR="0001681C">
        <w:rPr>
          <w:lang w:val="it-IT"/>
        </w:rPr>
        <w:t xml:space="preserve"> e </w:t>
      </w:r>
      <w:r w:rsidR="0001681C" w:rsidRPr="008A1DDD">
        <w:rPr>
          <w:lang w:val="it-IT"/>
        </w:rPr>
        <w:t>presentano delle difformità</w:t>
      </w:r>
      <w:r w:rsidR="0001681C">
        <w:rPr>
          <w:lang w:val="it-IT"/>
        </w:rPr>
        <w:t xml:space="preserve"> tra editori diffi</w:t>
      </w:r>
      <w:r w:rsidR="0001681C" w:rsidRPr="008A1DDD">
        <w:rPr>
          <w:lang w:val="it-IT"/>
        </w:rPr>
        <w:t>cilmente giustificabili</w:t>
      </w:r>
      <w:r w:rsidR="0001681C">
        <w:rPr>
          <w:lang w:val="it-IT"/>
        </w:rPr>
        <w:t>,</w:t>
      </w:r>
      <w:r w:rsidR="0001681C" w:rsidRPr="008A1DDD">
        <w:rPr>
          <w:lang w:val="it-IT"/>
        </w:rPr>
        <w:t xml:space="preserve"> dal momento che i processi editoriali sono più o meno gli stessi</w:t>
      </w:r>
      <w:r w:rsidR="0001681C">
        <w:rPr>
          <w:lang w:val="it-IT"/>
        </w:rPr>
        <w:t xml:space="preserve">, così come la qualità del </w:t>
      </w:r>
      <w:r w:rsidR="0001681C" w:rsidRPr="008A1DDD">
        <w:rPr>
          <w:lang w:val="it-IT"/>
        </w:rPr>
        <w:t>prodotto finit</w:t>
      </w:r>
      <w:r w:rsidR="0001681C">
        <w:rPr>
          <w:lang w:val="it-IT"/>
        </w:rPr>
        <w:t>o</w:t>
      </w:r>
      <w:r w:rsidR="0001681C" w:rsidRPr="008A1DDD">
        <w:rPr>
          <w:lang w:val="it-IT"/>
        </w:rPr>
        <w:t>.</w:t>
      </w:r>
    </w:p>
    <w:p w14:paraId="6D3A0CC2" w14:textId="5E0813C0" w:rsidR="007950A8" w:rsidRPr="008A1DDD" w:rsidRDefault="008C4960" w:rsidP="00E92BC9">
      <w:pPr>
        <w:spacing w:before="120"/>
        <w:jc w:val="both"/>
        <w:rPr>
          <w:lang w:val="it-IT"/>
        </w:rPr>
      </w:pPr>
      <w:r>
        <w:rPr>
          <w:lang w:val="it-IT"/>
        </w:rPr>
        <w:t>O</w:t>
      </w:r>
      <w:r w:rsidR="008A1DDD" w:rsidRPr="008A1DDD">
        <w:rPr>
          <w:lang w:val="it-IT"/>
        </w:rPr>
        <w:t xml:space="preserve">ccorre quindi implementare il monitoraggio efficace ed efficiente dei prezzi degli APC contrattati attraverso i TA, su medio e lungo termine, per verificare che, dopo un periodo di assestamento, il mercato consenta una riduzione sulla spesa APC essendosi aperto a maggiore </w:t>
      </w:r>
      <w:proofErr w:type="spellStart"/>
      <w:r w:rsidR="008A1DDD" w:rsidRPr="008A1DDD">
        <w:rPr>
          <w:lang w:val="it-IT"/>
        </w:rPr>
        <w:t>competitivita'</w:t>
      </w:r>
      <w:proofErr w:type="spellEnd"/>
      <w:r w:rsidR="008A1DDD" w:rsidRPr="008A1DDD">
        <w:rPr>
          <w:lang w:val="it-IT"/>
        </w:rPr>
        <w:t>.</w:t>
      </w:r>
    </w:p>
    <w:p w14:paraId="1701C186" w14:textId="77777777" w:rsidR="00E92BC9" w:rsidRDefault="00E92BC9">
      <w:pPr>
        <w:jc w:val="both"/>
        <w:rPr>
          <w:lang w:val="it-IT"/>
        </w:rPr>
      </w:pPr>
    </w:p>
    <w:p w14:paraId="67086DB4" w14:textId="796446EC" w:rsidR="007950A8" w:rsidRPr="008A1DDD" w:rsidRDefault="008A1DDD">
      <w:pPr>
        <w:jc w:val="both"/>
        <w:rPr>
          <w:lang w:val="it-IT"/>
        </w:rPr>
      </w:pPr>
      <w:r w:rsidRPr="008A1DDD">
        <w:rPr>
          <w:lang w:val="it-IT"/>
        </w:rPr>
        <w:t xml:space="preserve">Allo stesso tempo occorre monitorare le tendenze di pubblicazione che la comunità scientifica adotta per verificare se </w:t>
      </w:r>
      <w:r w:rsidR="008C4960">
        <w:rPr>
          <w:lang w:val="it-IT"/>
        </w:rPr>
        <w:t xml:space="preserve">e quali </w:t>
      </w:r>
      <w:r w:rsidRPr="008A1DDD">
        <w:rPr>
          <w:lang w:val="it-IT"/>
        </w:rPr>
        <w:t>nuove riviste di qualit</w:t>
      </w:r>
      <w:r w:rsidR="008C4960">
        <w:rPr>
          <w:lang w:val="it-IT"/>
        </w:rPr>
        <w:t xml:space="preserve">à </w:t>
      </w:r>
      <w:r w:rsidRPr="008A1DDD">
        <w:rPr>
          <w:lang w:val="it-IT"/>
        </w:rPr>
        <w:t xml:space="preserve">si stiano affacciando sul mercato </w:t>
      </w:r>
      <w:proofErr w:type="spellStart"/>
      <w:r w:rsidRPr="008A1DDD">
        <w:rPr>
          <w:lang w:val="it-IT"/>
        </w:rPr>
        <w:t>Publish</w:t>
      </w:r>
      <w:proofErr w:type="spellEnd"/>
      <w:r w:rsidRPr="008A1DDD">
        <w:rPr>
          <w:lang w:val="it-IT"/>
        </w:rPr>
        <w:t xml:space="preserve">, rendendolo meno rigido. I dati sul panorama editoriale sono da tempo stati studiati dal CNR che offre, grazie alla sua </w:t>
      </w:r>
      <w:proofErr w:type="spellStart"/>
      <w:r w:rsidRPr="008A1DDD">
        <w:rPr>
          <w:lang w:val="it-IT"/>
        </w:rPr>
        <w:t>multidisciplinarieta'</w:t>
      </w:r>
      <w:proofErr w:type="spellEnd"/>
      <w:r w:rsidRPr="008A1DDD">
        <w:rPr>
          <w:lang w:val="it-IT"/>
        </w:rPr>
        <w:t xml:space="preserve">, un </w:t>
      </w:r>
      <w:r w:rsidRPr="008A1DDD">
        <w:rPr>
          <w:i/>
          <w:lang w:val="it-IT"/>
        </w:rPr>
        <w:t>case study</w:t>
      </w:r>
      <w:r w:rsidRPr="008A1DDD">
        <w:rPr>
          <w:lang w:val="it-IT"/>
        </w:rPr>
        <w:t xml:space="preserve"> significativo della </w:t>
      </w:r>
      <w:proofErr w:type="spellStart"/>
      <w:r w:rsidRPr="008A1DDD">
        <w:rPr>
          <w:lang w:val="it-IT"/>
        </w:rPr>
        <w:t>realta'</w:t>
      </w:r>
      <w:proofErr w:type="spellEnd"/>
      <w:r w:rsidRPr="008A1DDD">
        <w:rPr>
          <w:lang w:val="it-IT"/>
        </w:rPr>
        <w:t xml:space="preserve"> scientifica italiana.</w:t>
      </w:r>
    </w:p>
    <w:p w14:paraId="49657CB7" w14:textId="48CBEF58" w:rsidR="007950A8" w:rsidRPr="008A1DDD" w:rsidRDefault="008A1DDD" w:rsidP="00E92BC9">
      <w:pPr>
        <w:spacing w:before="120"/>
        <w:jc w:val="both"/>
        <w:rPr>
          <w:lang w:val="it-IT"/>
        </w:rPr>
      </w:pPr>
      <w:r w:rsidRPr="008A1DDD">
        <w:rPr>
          <w:lang w:val="it-IT"/>
        </w:rPr>
        <w:lastRenderedPageBreak/>
        <w:t xml:space="preserve">Appare evidente come il monitoraggio degli APC debba essere effettuato su uno spaccato </w:t>
      </w:r>
      <w:proofErr w:type="spellStart"/>
      <w:r w:rsidRPr="008A1DDD">
        <w:rPr>
          <w:lang w:val="it-IT"/>
        </w:rPr>
        <w:t>piu'</w:t>
      </w:r>
      <w:proofErr w:type="spellEnd"/>
      <w:r w:rsidRPr="008A1DDD">
        <w:rPr>
          <w:lang w:val="it-IT"/>
        </w:rPr>
        <w:t xml:space="preserve"> ampio possibile della realt</w:t>
      </w:r>
      <w:r w:rsidR="00E92BC9">
        <w:rPr>
          <w:lang w:val="it-IT"/>
        </w:rPr>
        <w:t>à</w:t>
      </w:r>
      <w:r w:rsidRPr="008A1DDD">
        <w:rPr>
          <w:lang w:val="it-IT"/>
        </w:rPr>
        <w:t xml:space="preserve"> della ricerca italiana, come pure che sia necessario implementare la sinergia con l'Osservatorio OS della CRUI, sinergia presente nel programma di lavoro di questo gruppo degli EPR, ma che in questo caso assume la valenza di esigenza assoluta. L'Osservatorio OS della CRUI ha inserito il monitoraggio degli APC fra le priorit</w:t>
      </w:r>
      <w:r w:rsidR="00E92BC9">
        <w:rPr>
          <w:lang w:val="it-IT"/>
        </w:rPr>
        <w:t>à</w:t>
      </w:r>
      <w:r w:rsidRPr="008A1DDD">
        <w:rPr>
          <w:lang w:val="it-IT"/>
        </w:rPr>
        <w:t xml:space="preserve"> massime del proprio programma di lavoro [</w:t>
      </w:r>
      <w:proofErr w:type="spellStart"/>
      <w:r w:rsidRPr="008A1DDD">
        <w:rPr>
          <w:lang w:val="it-IT"/>
        </w:rPr>
        <w:t>ref</w:t>
      </w:r>
      <w:proofErr w:type="spellEnd"/>
      <w:r w:rsidRPr="008A1DDD">
        <w:rPr>
          <w:lang w:val="it-IT"/>
        </w:rPr>
        <w:t xml:space="preserve"> R. Delle Donne, riunione </w:t>
      </w:r>
      <w:proofErr w:type="spellStart"/>
      <w:r w:rsidRPr="008A1DDD">
        <w:rPr>
          <w:lang w:val="it-IT"/>
        </w:rPr>
        <w:t>ConPER</w:t>
      </w:r>
      <w:proofErr w:type="spellEnd"/>
      <w:r w:rsidRPr="008A1DDD">
        <w:rPr>
          <w:lang w:val="it-IT"/>
        </w:rPr>
        <w:t xml:space="preserve"> n.1 </w:t>
      </w:r>
      <w:r w:rsidRPr="008A1DDD">
        <w:rPr>
          <w:i/>
          <w:lang w:val="it-IT"/>
        </w:rPr>
        <w:t>controlla</w:t>
      </w:r>
      <w:r w:rsidRPr="008A1DDD">
        <w:rPr>
          <w:lang w:val="it-IT"/>
        </w:rPr>
        <w:t>]</w:t>
      </w:r>
      <w:r w:rsidR="008C4960">
        <w:rPr>
          <w:lang w:val="it-IT"/>
        </w:rPr>
        <w:t xml:space="preserve"> – </w:t>
      </w:r>
      <w:r w:rsidR="008C4960" w:rsidRPr="008C4960">
        <w:rPr>
          <w:b/>
          <w:bCs/>
          <w:color w:val="FF0000"/>
          <w:lang w:val="it-IT"/>
        </w:rPr>
        <w:t>DA INSERIRE RIFERIMENTO</w:t>
      </w:r>
    </w:p>
    <w:p w14:paraId="02E61626" w14:textId="37F37C35" w:rsidR="007950A8" w:rsidRPr="008A1DDD" w:rsidRDefault="009376AB" w:rsidP="009376AB">
      <w:pPr>
        <w:pStyle w:val="Titolo1"/>
        <w:rPr>
          <w:lang w:val="it-IT"/>
        </w:rPr>
      </w:pPr>
      <w:bookmarkStart w:id="5" w:name="_84h45ws0z563" w:colFirst="0" w:colLast="0"/>
      <w:bookmarkEnd w:id="5"/>
      <w:r>
        <w:rPr>
          <w:lang w:val="it-IT"/>
        </w:rPr>
        <w:t>4.</w:t>
      </w:r>
      <w:r w:rsidR="001579BA">
        <w:rPr>
          <w:lang w:val="it-IT"/>
        </w:rPr>
        <w:t xml:space="preserve"> </w:t>
      </w:r>
      <w:r w:rsidR="00A4282B">
        <w:rPr>
          <w:lang w:val="it-IT"/>
        </w:rPr>
        <w:t>Come cambiano le</w:t>
      </w:r>
      <w:r w:rsidR="008A1DDD" w:rsidRPr="008A1DDD">
        <w:rPr>
          <w:lang w:val="it-IT"/>
        </w:rPr>
        <w:t xml:space="preserve"> abitudini di pubblicazione: il case study CNR</w:t>
      </w:r>
    </w:p>
    <w:p w14:paraId="4FEC5D5C" w14:textId="50EC0B6A" w:rsidR="007950A8" w:rsidRPr="008A1DDD" w:rsidRDefault="008A1DDD" w:rsidP="00813080">
      <w:pPr>
        <w:pStyle w:val="Titolo2"/>
        <w:spacing w:before="0" w:after="0"/>
        <w:jc w:val="both"/>
        <w:rPr>
          <w:sz w:val="22"/>
          <w:szCs w:val="22"/>
          <w:lang w:val="it-IT"/>
        </w:rPr>
      </w:pPr>
      <w:bookmarkStart w:id="6" w:name="_qdo6zyjlkjx1" w:colFirst="0" w:colLast="0"/>
      <w:bookmarkEnd w:id="6"/>
      <w:r w:rsidRPr="008A1DDD">
        <w:rPr>
          <w:sz w:val="22"/>
          <w:szCs w:val="22"/>
          <w:lang w:val="it-IT"/>
        </w:rPr>
        <w:t>A inizio 2021, il Gruppo di lavoro “</w:t>
      </w:r>
      <w:r w:rsidR="00E64FEB">
        <w:rPr>
          <w:sz w:val="22"/>
          <w:szCs w:val="22"/>
          <w:lang w:val="it-IT"/>
        </w:rPr>
        <w:t xml:space="preserve">Acquisizioni e </w:t>
      </w:r>
      <w:r w:rsidRPr="008A1DDD">
        <w:rPr>
          <w:sz w:val="22"/>
          <w:szCs w:val="22"/>
          <w:lang w:val="it-IT"/>
        </w:rPr>
        <w:t>Contratti</w:t>
      </w:r>
      <w:r w:rsidR="00E64FEB">
        <w:rPr>
          <w:sz w:val="22"/>
          <w:szCs w:val="22"/>
          <w:lang w:val="it-IT"/>
        </w:rPr>
        <w:t xml:space="preserve">” del </w:t>
      </w:r>
      <w:r w:rsidRPr="008A1DDD">
        <w:rPr>
          <w:sz w:val="22"/>
          <w:szCs w:val="22"/>
          <w:lang w:val="it-IT"/>
        </w:rPr>
        <w:t>CNR</w:t>
      </w:r>
      <w:r w:rsidR="00E64FEB">
        <w:rPr>
          <w:sz w:val="22"/>
          <w:szCs w:val="22"/>
          <w:lang w:val="it-IT"/>
        </w:rPr>
        <w:t xml:space="preserve"> </w:t>
      </w:r>
      <w:r w:rsidRPr="008A1DDD">
        <w:rPr>
          <w:sz w:val="22"/>
          <w:szCs w:val="22"/>
          <w:lang w:val="it-IT"/>
        </w:rPr>
        <w:t>ha condotto un</w:t>
      </w:r>
      <w:r w:rsidR="00E64FEB">
        <w:rPr>
          <w:sz w:val="22"/>
          <w:szCs w:val="22"/>
          <w:lang w:val="it-IT"/>
        </w:rPr>
        <w:t>’analisi delle pubblicazioni dei ricercatori dell’ente con il duplice scopo di verificare eventuali cambiamenti nel</w:t>
      </w:r>
      <w:r w:rsidRPr="008A1DDD">
        <w:rPr>
          <w:sz w:val="22"/>
          <w:szCs w:val="22"/>
          <w:lang w:val="it-IT"/>
        </w:rPr>
        <w:t xml:space="preserve">le abitudini di pubblicazione </w:t>
      </w:r>
      <w:r w:rsidR="00E64FEB">
        <w:rPr>
          <w:sz w:val="22"/>
          <w:szCs w:val="22"/>
          <w:lang w:val="it-IT"/>
        </w:rPr>
        <w:t xml:space="preserve">e di creare la base di conoscenza necessaria per </w:t>
      </w:r>
      <w:r w:rsidRPr="008A1DDD">
        <w:rPr>
          <w:sz w:val="22"/>
          <w:szCs w:val="22"/>
          <w:lang w:val="it-IT"/>
        </w:rPr>
        <w:t>la negoziazione dei primi contratti trasformativi CNR. Lo studio ha coperto le annate 2009-2020.</w:t>
      </w:r>
    </w:p>
    <w:p w14:paraId="0189E8EA" w14:textId="77777777" w:rsidR="00813080" w:rsidRDefault="00813080">
      <w:pPr>
        <w:rPr>
          <w:lang w:val="it-IT"/>
        </w:rPr>
      </w:pPr>
    </w:p>
    <w:p w14:paraId="39C67D0C" w14:textId="169231B7" w:rsidR="007950A8" w:rsidRPr="008A1DDD" w:rsidRDefault="008A1DDD">
      <w:pPr>
        <w:rPr>
          <w:lang w:val="it-IT"/>
        </w:rPr>
      </w:pPr>
      <w:r w:rsidRPr="008A1DDD">
        <w:rPr>
          <w:lang w:val="it-IT"/>
        </w:rPr>
        <w:t>Per l’analisi sono state utilizzate le seguenti fonti:</w:t>
      </w:r>
    </w:p>
    <w:p w14:paraId="0EB8120D" w14:textId="79F75DD9" w:rsidR="007950A8" w:rsidRDefault="008A1DDD" w:rsidP="00813080">
      <w:pPr>
        <w:numPr>
          <w:ilvl w:val="0"/>
          <w:numId w:val="5"/>
        </w:numPr>
        <w:spacing w:line="360" w:lineRule="auto"/>
        <w:ind w:hanging="357"/>
        <w:jc w:val="both"/>
      </w:pPr>
      <w:r>
        <w:t xml:space="preserve">la banca </w:t>
      </w:r>
      <w:proofErr w:type="spellStart"/>
      <w:r>
        <w:t>dati</w:t>
      </w:r>
      <w:proofErr w:type="spellEnd"/>
      <w:r>
        <w:t xml:space="preserve"> </w:t>
      </w:r>
      <w:r>
        <w:rPr>
          <w:i/>
        </w:rPr>
        <w:t>Web of Science Core Collection (</w:t>
      </w:r>
      <w:proofErr w:type="spellStart"/>
      <w:r>
        <w:rPr>
          <w:i/>
        </w:rPr>
        <w:t>WoS</w:t>
      </w:r>
      <w:proofErr w:type="spellEnd"/>
      <w:proofErr w:type="gramStart"/>
      <w:r>
        <w:rPr>
          <w:i/>
        </w:rPr>
        <w:t>)</w:t>
      </w:r>
      <w:r w:rsidR="00E64FEB">
        <w:rPr>
          <w:i/>
        </w:rPr>
        <w:t>;</w:t>
      </w:r>
      <w:proofErr w:type="gramEnd"/>
    </w:p>
    <w:p w14:paraId="46992449" w14:textId="77777777" w:rsidR="007950A8" w:rsidRPr="008A1DDD" w:rsidRDefault="008A1DDD" w:rsidP="00813080">
      <w:pPr>
        <w:numPr>
          <w:ilvl w:val="1"/>
          <w:numId w:val="5"/>
        </w:numPr>
        <w:spacing w:line="360" w:lineRule="auto"/>
        <w:ind w:hanging="357"/>
        <w:jc w:val="both"/>
        <w:rPr>
          <w:i/>
          <w:lang w:val="it-IT"/>
        </w:rPr>
      </w:pPr>
      <w:r w:rsidRPr="008A1DDD">
        <w:rPr>
          <w:lang w:val="it-IT"/>
        </w:rPr>
        <w:t xml:space="preserve">i nominativi dei </w:t>
      </w:r>
      <w:proofErr w:type="spellStart"/>
      <w:r w:rsidRPr="008A1DDD">
        <w:rPr>
          <w:lang w:val="it-IT"/>
        </w:rPr>
        <w:t>Corresponding</w:t>
      </w:r>
      <w:proofErr w:type="spellEnd"/>
      <w:r w:rsidRPr="008A1DDD">
        <w:rPr>
          <w:lang w:val="it-IT"/>
        </w:rPr>
        <w:t xml:space="preserve"> Author degli articoli sono stati estratti dal campo </w:t>
      </w:r>
      <w:r w:rsidRPr="008A1DDD">
        <w:rPr>
          <w:i/>
          <w:lang w:val="it-IT"/>
        </w:rPr>
        <w:t>Reprint-Author</w:t>
      </w:r>
      <w:r w:rsidRPr="008A1DDD">
        <w:rPr>
          <w:lang w:val="it-IT"/>
        </w:rPr>
        <w:t xml:space="preserve"> di </w:t>
      </w:r>
      <w:proofErr w:type="spellStart"/>
      <w:r w:rsidRPr="008A1DDD">
        <w:rPr>
          <w:lang w:val="it-IT"/>
        </w:rPr>
        <w:t>WoS</w:t>
      </w:r>
      <w:proofErr w:type="spellEnd"/>
      <w:r w:rsidRPr="008A1DDD">
        <w:rPr>
          <w:lang w:val="it-IT"/>
        </w:rPr>
        <w:t xml:space="preserve"> e verificati sul sito dell’editore o sul PDF dell’articolo.</w:t>
      </w:r>
    </w:p>
    <w:p w14:paraId="7C11DAC2" w14:textId="77777777" w:rsidR="007950A8" w:rsidRPr="008A1DDD" w:rsidRDefault="008A1DDD" w:rsidP="00813080">
      <w:pPr>
        <w:numPr>
          <w:ilvl w:val="1"/>
          <w:numId w:val="5"/>
        </w:numPr>
        <w:spacing w:line="360" w:lineRule="auto"/>
        <w:ind w:hanging="357"/>
        <w:jc w:val="both"/>
        <w:rPr>
          <w:i/>
          <w:lang w:val="it-IT"/>
        </w:rPr>
      </w:pPr>
      <w:r w:rsidRPr="008A1DDD">
        <w:rPr>
          <w:lang w:val="it-IT"/>
        </w:rPr>
        <w:t xml:space="preserve">le affiliazioni CNR sono state estratte dai campi </w:t>
      </w:r>
      <w:proofErr w:type="spellStart"/>
      <w:r w:rsidRPr="008A1DDD">
        <w:rPr>
          <w:lang w:val="it-IT"/>
        </w:rPr>
        <w:t>WoS</w:t>
      </w:r>
      <w:proofErr w:type="spellEnd"/>
      <w:r w:rsidRPr="008A1DDD">
        <w:rPr>
          <w:lang w:val="it-IT"/>
        </w:rPr>
        <w:t xml:space="preserve"> </w:t>
      </w:r>
      <w:r w:rsidRPr="008A1DDD">
        <w:rPr>
          <w:i/>
          <w:lang w:val="it-IT"/>
        </w:rPr>
        <w:t>AD=</w:t>
      </w:r>
      <w:proofErr w:type="spellStart"/>
      <w:r w:rsidRPr="008A1DDD">
        <w:rPr>
          <w:i/>
          <w:lang w:val="it-IT"/>
        </w:rPr>
        <w:t>Address</w:t>
      </w:r>
      <w:proofErr w:type="spellEnd"/>
      <w:r w:rsidRPr="008A1DDD">
        <w:rPr>
          <w:lang w:val="it-IT"/>
        </w:rPr>
        <w:t xml:space="preserve"> (affiliazione degli autori) e </w:t>
      </w:r>
      <w:r w:rsidRPr="008A1DDD">
        <w:rPr>
          <w:i/>
          <w:lang w:val="it-IT"/>
        </w:rPr>
        <w:t>OG=Organization-</w:t>
      </w:r>
      <w:proofErr w:type="spellStart"/>
      <w:r w:rsidRPr="008A1DDD">
        <w:rPr>
          <w:i/>
          <w:lang w:val="it-IT"/>
        </w:rPr>
        <w:t>Enhanced</w:t>
      </w:r>
      <w:proofErr w:type="spellEnd"/>
      <w:r w:rsidRPr="008A1DDD">
        <w:rPr>
          <w:lang w:val="it-IT"/>
        </w:rPr>
        <w:t>.</w:t>
      </w:r>
    </w:p>
    <w:p w14:paraId="5402474D" w14:textId="77777777" w:rsidR="007950A8" w:rsidRPr="008A1DDD" w:rsidRDefault="008A1DDD" w:rsidP="00813080">
      <w:pPr>
        <w:numPr>
          <w:ilvl w:val="0"/>
          <w:numId w:val="5"/>
        </w:numPr>
        <w:spacing w:line="360" w:lineRule="auto"/>
        <w:ind w:hanging="357"/>
        <w:jc w:val="both"/>
        <w:rPr>
          <w:lang w:val="it-IT"/>
        </w:rPr>
      </w:pPr>
      <w:r w:rsidRPr="008A1DDD">
        <w:rPr>
          <w:lang w:val="it-IT"/>
        </w:rPr>
        <w:t>la lista DOAJ</w:t>
      </w:r>
      <w:r w:rsidRPr="008A1DDD">
        <w:rPr>
          <w:highlight w:val="white"/>
          <w:lang w:val="it-IT"/>
        </w:rPr>
        <w:t>: un repertorio di riviste ad accesso aperto;</w:t>
      </w:r>
    </w:p>
    <w:p w14:paraId="76763481" w14:textId="77777777" w:rsidR="007950A8" w:rsidRPr="008A1DDD" w:rsidRDefault="008A1DDD" w:rsidP="00813080">
      <w:pPr>
        <w:numPr>
          <w:ilvl w:val="0"/>
          <w:numId w:val="5"/>
        </w:numPr>
        <w:spacing w:line="360" w:lineRule="auto"/>
        <w:ind w:hanging="357"/>
        <w:jc w:val="both"/>
        <w:rPr>
          <w:lang w:val="it-IT"/>
        </w:rPr>
      </w:pPr>
      <w:r w:rsidRPr="008A1DDD">
        <w:rPr>
          <w:lang w:val="it-IT"/>
        </w:rPr>
        <w:t>le liste ufficiali dei titoli delle riviste pubblicate sui siti degli editori.</w:t>
      </w:r>
    </w:p>
    <w:p w14:paraId="2FC92968" w14:textId="2010C827" w:rsidR="007950A8" w:rsidRDefault="008A1DDD">
      <w:pPr>
        <w:spacing w:before="240" w:after="240" w:line="240" w:lineRule="auto"/>
        <w:jc w:val="both"/>
        <w:rPr>
          <w:lang w:val="it-IT"/>
        </w:rPr>
      </w:pPr>
      <w:r w:rsidRPr="008A1DDD">
        <w:rPr>
          <w:lang w:val="it-IT"/>
        </w:rPr>
        <w:t>Il costo medio dell’APC è stato calcolato in base ai prezzi disponibili sui siti degli editori.</w:t>
      </w:r>
    </w:p>
    <w:p w14:paraId="3EDB4135" w14:textId="2C32B074" w:rsidR="008B60FD" w:rsidRPr="008A1DDD" w:rsidRDefault="008B60FD">
      <w:pPr>
        <w:spacing w:before="240" w:after="240" w:line="240" w:lineRule="auto"/>
        <w:jc w:val="both"/>
        <w:rPr>
          <w:lang w:val="it-IT"/>
        </w:rPr>
      </w:pPr>
      <w:r w:rsidRPr="008B60FD">
        <w:rPr>
          <w:noProof/>
          <w:lang w:val="it-IT"/>
        </w:rPr>
        <mc:AlternateContent>
          <mc:Choice Requires="wpg">
            <w:drawing>
              <wp:anchor distT="45720" distB="45720" distL="182880" distR="182880" simplePos="0" relativeHeight="251662336" behindDoc="0" locked="0" layoutInCell="1" allowOverlap="1" wp14:anchorId="3921DCE6" wp14:editId="242B9317">
                <wp:simplePos x="0" y="0"/>
                <wp:positionH relativeFrom="margin">
                  <wp:posOffset>3140710</wp:posOffset>
                </wp:positionH>
                <wp:positionV relativeFrom="margin">
                  <wp:posOffset>5143500</wp:posOffset>
                </wp:positionV>
                <wp:extent cx="2933700" cy="2194560"/>
                <wp:effectExtent l="0" t="0" r="0" b="15240"/>
                <wp:wrapSquare wrapText="bothSides"/>
                <wp:docPr id="198" name="Gruppo 198"/>
                <wp:cNvGraphicFramePr/>
                <a:graphic xmlns:a="http://schemas.openxmlformats.org/drawingml/2006/main">
                  <a:graphicData uri="http://schemas.microsoft.com/office/word/2010/wordprocessingGroup">
                    <wpg:wgp>
                      <wpg:cNvGrpSpPr/>
                      <wpg:grpSpPr>
                        <a:xfrm>
                          <a:off x="0" y="0"/>
                          <a:ext cx="2933700" cy="2194560"/>
                          <a:chOff x="0" y="0"/>
                          <a:chExt cx="3732249" cy="2134031"/>
                        </a:xfrm>
                      </wpg:grpSpPr>
                      <wps:wsp>
                        <wps:cNvPr id="199" name="Rettangolo 199"/>
                        <wps:cNvSpPr/>
                        <wps:spPr>
                          <a:xfrm>
                            <a:off x="0" y="0"/>
                            <a:ext cx="3703167" cy="2297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126B7" w14:textId="77777777" w:rsidR="008B60FD" w:rsidRDefault="008B60FD">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asella di testo 200"/>
                        <wps:cNvSpPr txBox="1"/>
                        <wps:spPr>
                          <a:xfrm>
                            <a:off x="0" y="252695"/>
                            <a:ext cx="3732249" cy="188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3FCA" w14:textId="77777777" w:rsidR="008B60FD" w:rsidRPr="008A1DDD" w:rsidRDefault="008B60FD" w:rsidP="008B60FD">
                              <w:pPr>
                                <w:jc w:val="both"/>
                                <w:rPr>
                                  <w:lang w:val="it-IT"/>
                                </w:rPr>
                              </w:pPr>
                              <w:r w:rsidRPr="008A1DDD">
                                <w:rPr>
                                  <w:lang w:val="it-IT"/>
                                </w:rPr>
                                <w:t xml:space="preserve">I dati sono stati successivamente raffinati, mediante ricerche e filtri disponibili in </w:t>
                              </w:r>
                              <w:proofErr w:type="spellStart"/>
                              <w:r w:rsidRPr="008A1DDD">
                                <w:rPr>
                                  <w:lang w:val="it-IT"/>
                                </w:rPr>
                                <w:t>WoS</w:t>
                              </w:r>
                              <w:proofErr w:type="spellEnd"/>
                              <w:r w:rsidRPr="008A1DDD">
                                <w:rPr>
                                  <w:lang w:val="it-IT"/>
                                </w:rPr>
                                <w:t xml:space="preserve"> e suddivisi in base agli editori, alla tipologia di pubblicazione e alle caratteristiche open access: Non-OA, </w:t>
                              </w:r>
                              <w:proofErr w:type="spellStart"/>
                              <w:r w:rsidRPr="008A1DDD">
                                <w:rPr>
                                  <w:lang w:val="it-IT"/>
                                </w:rPr>
                                <w:t>Hybrid</w:t>
                              </w:r>
                              <w:proofErr w:type="spellEnd"/>
                              <w:r w:rsidRPr="008A1DDD">
                                <w:rPr>
                                  <w:lang w:val="it-IT"/>
                                </w:rPr>
                                <w:t xml:space="preserve"> e Gold.</w:t>
                              </w:r>
                            </w:p>
                            <w:p w14:paraId="5C440F8F" w14:textId="77777777" w:rsidR="008B60FD" w:rsidRDefault="008B60FD" w:rsidP="008B60FD">
                              <w:pPr>
                                <w:spacing w:before="120"/>
                                <w:jc w:val="both"/>
                                <w:rPr>
                                  <w:lang w:val="it-IT"/>
                                </w:rPr>
                              </w:pPr>
                              <w:r w:rsidRPr="008A1DDD">
                                <w:rPr>
                                  <w:lang w:val="it-IT"/>
                                </w:rPr>
                                <w:t xml:space="preserve">Le tipologie di pubblicazione prese in esame sono state </w:t>
                              </w:r>
                              <w:proofErr w:type="spellStart"/>
                              <w:r w:rsidRPr="008A1DDD">
                                <w:rPr>
                                  <w:lang w:val="it-IT"/>
                                </w:rPr>
                                <w:t>Article</w:t>
                              </w:r>
                              <w:proofErr w:type="spellEnd"/>
                              <w:r w:rsidRPr="008A1DDD">
                                <w:rPr>
                                  <w:lang w:val="it-IT"/>
                                </w:rPr>
                                <w:t xml:space="preserve">, </w:t>
                              </w:r>
                              <w:proofErr w:type="spellStart"/>
                              <w:r w:rsidRPr="008A1DDD">
                                <w:rPr>
                                  <w:lang w:val="it-IT"/>
                                </w:rPr>
                                <w:t>Article</w:t>
                              </w:r>
                              <w:proofErr w:type="spellEnd"/>
                              <w:r w:rsidRPr="008A1DDD">
                                <w:rPr>
                                  <w:lang w:val="it-IT"/>
                                </w:rPr>
                                <w:t xml:space="preserve"> </w:t>
                              </w:r>
                              <w:proofErr w:type="spellStart"/>
                              <w:r w:rsidRPr="008A1DDD">
                                <w:rPr>
                                  <w:lang w:val="it-IT"/>
                                </w:rPr>
                                <w:t>Proceedings</w:t>
                              </w:r>
                              <w:proofErr w:type="spellEnd"/>
                              <w:r w:rsidRPr="008A1DDD">
                                <w:rPr>
                                  <w:lang w:val="it-IT"/>
                                </w:rPr>
                                <w:t xml:space="preserve"> paper, </w:t>
                              </w:r>
                              <w:proofErr w:type="spellStart"/>
                              <w:r w:rsidRPr="008A1DDD">
                                <w:rPr>
                                  <w:lang w:val="it-IT"/>
                                </w:rPr>
                                <w:t>Editorial</w:t>
                              </w:r>
                              <w:proofErr w:type="spellEnd"/>
                              <w:r w:rsidRPr="008A1DDD">
                                <w:rPr>
                                  <w:lang w:val="it-IT"/>
                                </w:rPr>
                                <w:t xml:space="preserve"> </w:t>
                              </w:r>
                              <w:proofErr w:type="spellStart"/>
                              <w:r w:rsidRPr="008A1DDD">
                                <w:rPr>
                                  <w:lang w:val="it-IT"/>
                                </w:rPr>
                                <w:t>Materials</w:t>
                              </w:r>
                              <w:proofErr w:type="spellEnd"/>
                              <w:r w:rsidRPr="008A1DDD">
                                <w:rPr>
                                  <w:lang w:val="it-IT"/>
                                </w:rPr>
                                <w:t xml:space="preserve">, </w:t>
                              </w:r>
                              <w:proofErr w:type="spellStart"/>
                              <w:r w:rsidRPr="008A1DDD">
                                <w:rPr>
                                  <w:lang w:val="it-IT"/>
                                </w:rPr>
                                <w:t>Letter</w:t>
                              </w:r>
                              <w:proofErr w:type="spellEnd"/>
                              <w:r w:rsidRPr="008A1DDD">
                                <w:rPr>
                                  <w:lang w:val="it-IT"/>
                                </w:rPr>
                                <w:t xml:space="preserve"> e Review.</w:t>
                              </w:r>
                            </w:p>
                            <w:p w14:paraId="1F2A11D0" w14:textId="39F3747A" w:rsidR="008B60FD" w:rsidRPr="008B60FD" w:rsidRDefault="008B60FD">
                              <w:pPr>
                                <w:rPr>
                                  <w:caps/>
                                  <w:color w:val="4F81BD" w:themeColor="accent1"/>
                                  <w:sz w:val="26"/>
                                  <w:szCs w:val="26"/>
                                  <w:lang w:val="it-IT"/>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1DCE6" id="Gruppo 198" o:spid="_x0000_s1026" style="position:absolute;left:0;text-align:left;margin-left:247.3pt;margin-top:405pt;width:231pt;height:172.8pt;z-index:251662336;mso-wrap-distance-left:14.4pt;mso-wrap-distance-top:3.6pt;mso-wrap-distance-right:14.4pt;mso-wrap-distance-bottom:3.6pt;mso-position-horizontal-relative:margin;mso-position-vertical-relative:margin;mso-width-relative:margin;mso-height-relative:margin" coordsize="37322,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ewagMAAI0KAAAOAAAAZHJzL2Uyb0RvYy54bWzMVtlO3DAUfa/Uf7DyXrLNwkQERKGgSggQ&#10;UPFsHGcS1fF1bQ8Z+vW9dha2EUUg0c5DxsvdfHzPSXb21o0gt1ybGmQexFtRQLhkUNRymQc/ro6+&#10;bAfEWCoLKkDyPLjjJtjb/fxpp1UZT6ACUXBNMIg0WavyoLJWZWFoWMUbarZAcYmbJeiGWpzqZVho&#10;2mL0RoRJFM3CFnShNDBuDK4edpvBro9flpzZs7I03BKRB1ib9U/tnzfuGe7u0Gypqapq1pdB31BF&#10;Q2uJScdQh9RSstL1s1BNzTQYKO0WgyaEsqwZ92fA08TRk9Mca1gpf5Zl1i7VCBNC+wSnN4dlp7fH&#10;Wl2qc41ItGqJWPiZO8u61I37xyrJ2kN2N0LG15YwXEwWaTqPEFmGe0m8mExnPaisQuSf+bHqW++Z&#10;ztMkmSwGz3QSpbG7jnBIHD4qp1XYIOYeA/M+DC4rqriH1mSIwbkmdYH9u8B6JG2wUS+4xbZdggDi&#10;Vj063nTEymQGYXstUIhSGs/m/XGTxTyaPjotzZQ29phDQ9wgDzT2rm8pentibAfMYOKSGhB1cVQL&#10;4SeOL/xAaHJLsdMpY1zaAc5HlkI6ewnOswvqVhDr4Th+ZO8Ed3ZCXvASoXE37YvxxHyeyNdQ0YJ3&#10;+acR/vrjjR7+an1AZ11i/jF2/FLsrsre3rlyz+vROfq78+jhM4O0o3NTS9CbAogRvrKzH0DqoHEo&#10;2fXNuu+LGyjusIc0dAJjFDuq8RZPqLHnVKOiIENQJe0ZPkoBbR5APwpIBfr3pnVnj02OuwFpUaHy&#10;wPxaUc0DIr5LbP9FPJk4SfOTyXSe4EQ/3Ll5uCNXzQFga8Sox4r5obO3YhiWGpprFNN9lxW3qGSY&#10;Ow+Y1cPkwHbKiXLM+P6+N0MZU9SeyEvFXHAHsOvSq/U11apvZYtqcQoD5Wj2pKM7W+cpYX9loax9&#10;uzuIO1x76JH+TqM+QAfwzTLowAE1XAhKippYbiwQt9ffOgqHUwNi118BGeL55unzki4k02S28NzH&#10;Tt6khfH2dpyms/epw0hwx2GC/TZLpx1Rxh0U2k4MOnb0InNfvx9tEIJX8G0zy1/h+NEsL34OIvki&#10;y7uXw3Dt/5zsPfM3kN217VuJbv8nmvuXP37z+JdG/33mPqoezr0s3H9F7v4BAAD//wMAUEsDBBQA&#10;BgAIAAAAIQDUNIIW4gAAAAwBAAAPAAAAZHJzL2Rvd25yZXYueG1sTI/BSsNAEIbvgu+wjODNbqJN&#10;aNNsSinqqQi2gvS2zU6T0OxsyG6T9O0dT3qcmY9/vj9fT7YVA/a+caQgnkUgkEpnGqoUfB3enhYg&#10;fNBkdOsIFdzQw7q4v8t1ZtxInzjsQyU4hHymFdQhdJmUvqzRaj9zHRLfzq63OvDYV9L0euRw28rn&#10;KEql1Q3xh1p3uK2xvOyvVsH7qMfNS/w67C7n7e14SD6+dzEq9fgwbVYgAk7hD4ZffVaHgp1O7krG&#10;i1bBfDlPGVWwiCMuxcQySXlzYjROkhRkkcv/JYofAAAA//8DAFBLAQItABQABgAIAAAAIQC2gziS&#10;/gAAAOEBAAATAAAAAAAAAAAAAAAAAAAAAABbQ29udGVudF9UeXBlc10ueG1sUEsBAi0AFAAGAAgA&#10;AAAhADj9If/WAAAAlAEAAAsAAAAAAAAAAAAAAAAALwEAAF9yZWxzLy5yZWxzUEsBAi0AFAAGAAgA&#10;AAAhABsA97BqAwAAjQoAAA4AAAAAAAAAAAAAAAAALgIAAGRycy9lMm9Eb2MueG1sUEsBAi0AFAAG&#10;AAgAAAAhANQ0ghbiAAAADAEAAA8AAAAAAAAAAAAAAAAAxAUAAGRycy9kb3ducmV2LnhtbFBLBQYA&#10;AAAABAAEAPMAAADTBgAAAAA=&#10;">
                <v:rect id="Rettangolo 199" o:spid="_x0000_s1027" style="position:absolute;width:37031;height:2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632126B7" w14:textId="77777777" w:rsidR="008B60FD" w:rsidRDefault="008B60FD">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Casella di testo 200" o:spid="_x0000_s1028" type="#_x0000_t202" style="position:absolute;top:2526;width:37322;height:1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BC83FCA" w14:textId="77777777" w:rsidR="008B60FD" w:rsidRPr="008A1DDD" w:rsidRDefault="008B60FD" w:rsidP="008B60FD">
                        <w:pPr>
                          <w:jc w:val="both"/>
                          <w:rPr>
                            <w:lang w:val="it-IT"/>
                          </w:rPr>
                        </w:pPr>
                        <w:r w:rsidRPr="008A1DDD">
                          <w:rPr>
                            <w:lang w:val="it-IT"/>
                          </w:rPr>
                          <w:t>I dati sono stati successivamente raffinati, mediante ricerche e filtri disponibili in WoS e suddivisi in base agli editori, alla tipologia di pubblicazione e alle caratteristiche open access: Non-OA, Hybrid e Gold.</w:t>
                        </w:r>
                      </w:p>
                      <w:p w14:paraId="5C440F8F" w14:textId="77777777" w:rsidR="008B60FD" w:rsidRDefault="008B60FD" w:rsidP="008B60FD">
                        <w:pPr>
                          <w:spacing w:before="120"/>
                          <w:jc w:val="both"/>
                          <w:rPr>
                            <w:lang w:val="it-IT"/>
                          </w:rPr>
                        </w:pPr>
                        <w:r w:rsidRPr="008A1DDD">
                          <w:rPr>
                            <w:lang w:val="it-IT"/>
                          </w:rPr>
                          <w:t>Le tipologie di pubblicazione prese in esame sono state Article, Article Proceedings paper, Editorial Materials, Letter e Review.</w:t>
                        </w:r>
                      </w:p>
                      <w:p w14:paraId="1F2A11D0" w14:textId="39F3747A" w:rsidR="008B60FD" w:rsidRPr="008B60FD" w:rsidRDefault="008B60FD">
                        <w:pPr>
                          <w:rPr>
                            <w:caps/>
                            <w:color w:val="4F81BD" w:themeColor="accent1"/>
                            <w:sz w:val="26"/>
                            <w:szCs w:val="26"/>
                            <w:lang w:val="it-IT"/>
                          </w:rPr>
                        </w:pPr>
                      </w:p>
                    </w:txbxContent>
                  </v:textbox>
                </v:shape>
                <w10:wrap type="square" anchorx="margin" anchory="margin"/>
              </v:group>
            </w:pict>
          </mc:Fallback>
        </mc:AlternateContent>
      </w:r>
      <w:r>
        <w:rPr>
          <w:noProof/>
        </w:rPr>
        <w:drawing>
          <wp:anchor distT="0" distB="0" distL="114300" distR="114300" simplePos="0" relativeHeight="251663360" behindDoc="0" locked="0" layoutInCell="1" allowOverlap="1" wp14:anchorId="6D085199" wp14:editId="2FA827B6">
            <wp:simplePos x="0" y="0"/>
            <wp:positionH relativeFrom="column">
              <wp:posOffset>243840</wp:posOffset>
            </wp:positionH>
            <wp:positionV relativeFrom="paragraph">
              <wp:posOffset>187960</wp:posOffset>
            </wp:positionV>
            <wp:extent cx="2689860" cy="2202180"/>
            <wp:effectExtent l="0" t="0" r="0" b="7620"/>
            <wp:wrapSquare wrapText="bothSides"/>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89860" cy="2202180"/>
                    </a:xfrm>
                    <a:prstGeom prst="rect">
                      <a:avLst/>
                    </a:prstGeom>
                    <a:ln/>
                  </pic:spPr>
                </pic:pic>
              </a:graphicData>
            </a:graphic>
          </wp:anchor>
        </w:drawing>
      </w:r>
      <w:r>
        <w:rPr>
          <w:lang w:val="it-IT"/>
        </w:rPr>
        <w:tab/>
      </w:r>
    </w:p>
    <w:p w14:paraId="6D0B0A73" w14:textId="77777777" w:rsidR="008B60FD" w:rsidRDefault="008B60FD" w:rsidP="00813080">
      <w:pPr>
        <w:jc w:val="both"/>
        <w:rPr>
          <w:lang w:val="it-IT"/>
        </w:rPr>
      </w:pPr>
    </w:p>
    <w:p w14:paraId="2D936E8F" w14:textId="77777777" w:rsidR="00CF05BD" w:rsidRDefault="00CF05BD" w:rsidP="00813080">
      <w:pPr>
        <w:jc w:val="both"/>
        <w:rPr>
          <w:lang w:val="it-IT"/>
        </w:rPr>
      </w:pPr>
    </w:p>
    <w:p w14:paraId="6CE15508" w14:textId="472D3D3F" w:rsidR="007950A8" w:rsidRPr="008A1DDD" w:rsidRDefault="008A1DDD" w:rsidP="00813080">
      <w:pPr>
        <w:jc w:val="both"/>
        <w:rPr>
          <w:lang w:val="it-IT"/>
        </w:rPr>
      </w:pPr>
      <w:r w:rsidRPr="008A1DDD">
        <w:rPr>
          <w:lang w:val="it-IT"/>
        </w:rPr>
        <w:t xml:space="preserve">Lo studio si è concentrato sulle pubblicazioni in rivista, dal 2015 al 2020, per le 4 tipologie di cui sopra, verificandone </w:t>
      </w:r>
      <w:proofErr w:type="gramStart"/>
      <w:r w:rsidRPr="008A1DDD">
        <w:rPr>
          <w:lang w:val="it-IT"/>
        </w:rPr>
        <w:t xml:space="preserve">il </w:t>
      </w:r>
      <w:r w:rsidRPr="008A1DDD">
        <w:rPr>
          <w:i/>
          <w:lang w:val="it-IT"/>
        </w:rPr>
        <w:t>trend</w:t>
      </w:r>
      <w:proofErr w:type="gramEnd"/>
      <w:r w:rsidRPr="008A1DDD">
        <w:rPr>
          <w:i/>
          <w:lang w:val="it-IT"/>
        </w:rPr>
        <w:t xml:space="preserve"> </w:t>
      </w:r>
      <w:r w:rsidRPr="008A1DDD">
        <w:rPr>
          <w:lang w:val="it-IT"/>
        </w:rPr>
        <w:t>nel mondo, in Italia e in particolare nel CNR.</w:t>
      </w:r>
    </w:p>
    <w:p w14:paraId="1B881084" w14:textId="7D5E61B4" w:rsidR="007950A8" w:rsidRDefault="00C64095">
      <w:pPr>
        <w:spacing w:before="240" w:after="240" w:line="240" w:lineRule="auto"/>
        <w:jc w:val="center"/>
      </w:pPr>
      <w:r>
        <w:rPr>
          <w:noProof/>
        </w:rPr>
        <w:lastRenderedPageBreak/>
        <w:drawing>
          <wp:inline distT="0" distB="0" distL="0" distR="0" wp14:anchorId="46D11408" wp14:editId="17005890">
            <wp:extent cx="5913084" cy="2463170"/>
            <wp:effectExtent l="19050" t="19050" r="12065" b="133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094" cy="2463174"/>
                    </a:xfrm>
                    <a:prstGeom prst="rect">
                      <a:avLst/>
                    </a:prstGeom>
                    <a:noFill/>
                    <a:ln>
                      <a:solidFill>
                        <a:schemeClr val="tx1">
                          <a:lumMod val="65000"/>
                          <a:lumOff val="35000"/>
                        </a:schemeClr>
                      </a:solidFill>
                    </a:ln>
                  </pic:spPr>
                </pic:pic>
              </a:graphicData>
            </a:graphic>
          </wp:inline>
        </w:drawing>
      </w:r>
    </w:p>
    <w:p w14:paraId="6C6CA6EB" w14:textId="77777777" w:rsidR="00AF285C" w:rsidRPr="00AF285C" w:rsidRDefault="00AF285C" w:rsidP="00AF285C">
      <w:pPr>
        <w:jc w:val="center"/>
        <w:rPr>
          <w:i/>
          <w:iCs/>
          <w:sz w:val="18"/>
          <w:szCs w:val="18"/>
          <w:lang w:val="it-IT"/>
        </w:rPr>
      </w:pPr>
      <w:r w:rsidRPr="00AF285C">
        <w:rPr>
          <w:i/>
          <w:iCs/>
          <w:sz w:val="18"/>
          <w:szCs w:val="18"/>
          <w:lang w:val="it-IT"/>
        </w:rPr>
        <w:t>Grafico 1 - Analisi globale delle pubblicazioni 2015-2020 - Trend Mondo-Italia-CNR</w:t>
      </w:r>
    </w:p>
    <w:p w14:paraId="4475F685" w14:textId="77777777" w:rsidR="00AF285C" w:rsidRDefault="00AF285C" w:rsidP="00813080">
      <w:pPr>
        <w:jc w:val="both"/>
        <w:rPr>
          <w:lang w:val="it-IT"/>
        </w:rPr>
      </w:pPr>
    </w:p>
    <w:p w14:paraId="4DEE4E20" w14:textId="598F6A03" w:rsidR="007950A8" w:rsidRDefault="008A1DDD" w:rsidP="00813080">
      <w:pPr>
        <w:jc w:val="both"/>
        <w:rPr>
          <w:lang w:val="it-IT"/>
        </w:rPr>
      </w:pPr>
      <w:r w:rsidRPr="008A1DDD">
        <w:rPr>
          <w:lang w:val="it-IT"/>
        </w:rPr>
        <w:t>Da</w:t>
      </w:r>
      <w:r w:rsidR="00AF285C">
        <w:rPr>
          <w:lang w:val="it-IT"/>
        </w:rPr>
        <w:t>l grafico 1</w:t>
      </w:r>
      <w:r w:rsidRPr="008A1DDD">
        <w:rPr>
          <w:lang w:val="it-IT"/>
        </w:rPr>
        <w:t xml:space="preserve"> si evince l’aumento percentuale delle pubblicazioni su riviste Gold OA</w:t>
      </w:r>
      <w:r w:rsidR="00AF285C">
        <w:rPr>
          <w:lang w:val="it-IT"/>
        </w:rPr>
        <w:t xml:space="preserve">, </w:t>
      </w:r>
      <w:r w:rsidRPr="008A1DDD">
        <w:rPr>
          <w:lang w:val="it-IT"/>
        </w:rPr>
        <w:t xml:space="preserve">soprattutto dal 2018 in poi ed è possibile apprezzare come questo aumento sia maggiore in Italia, rispetto al resto del Mondo e ancor più in aumento nel CNR; l’aumento delle percentuali delle pubblicazioni su riviste </w:t>
      </w:r>
      <w:proofErr w:type="spellStart"/>
      <w:r w:rsidRPr="008A1DDD">
        <w:rPr>
          <w:lang w:val="it-IT"/>
        </w:rPr>
        <w:t>Hybrid</w:t>
      </w:r>
      <w:proofErr w:type="spellEnd"/>
      <w:r w:rsidRPr="008A1DDD">
        <w:rPr>
          <w:lang w:val="it-IT"/>
        </w:rPr>
        <w:t xml:space="preserve"> OA sempre dal 2018, con un’impennata dal 2019 in Italia e nel CNR (secondo grafico) e, al contrario, la diminuzione percentuale di pubblicazioni Non-OA, che calano nel CNR in numero più consistente rispetto all’Italia e al Mondo.</w:t>
      </w:r>
    </w:p>
    <w:p w14:paraId="3A49E365" w14:textId="77777777" w:rsidR="00C64095" w:rsidRPr="008A1DDD" w:rsidRDefault="00C64095" w:rsidP="00813080">
      <w:pPr>
        <w:jc w:val="both"/>
        <w:rPr>
          <w:lang w:val="it-IT"/>
        </w:rPr>
      </w:pPr>
    </w:p>
    <w:p w14:paraId="4A3807FA" w14:textId="77777777" w:rsidR="007950A8" w:rsidRPr="008A1DDD" w:rsidRDefault="008A1DDD" w:rsidP="00813080">
      <w:pPr>
        <w:jc w:val="both"/>
        <w:rPr>
          <w:lang w:val="it-IT"/>
        </w:rPr>
      </w:pPr>
      <w:r w:rsidRPr="008A1DDD">
        <w:rPr>
          <w:lang w:val="it-IT"/>
        </w:rPr>
        <w:t>L’aumento delle pubblicazioni Open Access negli ultimi anni, soprattutto in Italia e nel CNR, può essere dovuto:</w:t>
      </w:r>
    </w:p>
    <w:p w14:paraId="6296E04E" w14:textId="77777777" w:rsidR="007950A8" w:rsidRPr="008A1DDD" w:rsidRDefault="008A1DDD" w:rsidP="00813080">
      <w:pPr>
        <w:numPr>
          <w:ilvl w:val="0"/>
          <w:numId w:val="6"/>
        </w:numPr>
        <w:jc w:val="both"/>
        <w:rPr>
          <w:lang w:val="it-IT"/>
        </w:rPr>
      </w:pPr>
      <w:r w:rsidRPr="008A1DDD">
        <w:rPr>
          <w:lang w:val="it-IT"/>
        </w:rPr>
        <w:t>alla necessità di adeguarsi ai mandati dei progetti finanziati dalla comunità europea, che richiedono che tutti i prodotti debbano essere pubblicati in accesso aperto;</w:t>
      </w:r>
    </w:p>
    <w:p w14:paraId="5127EC0C" w14:textId="77777777" w:rsidR="007950A8" w:rsidRPr="008A1DDD" w:rsidRDefault="008A1DDD" w:rsidP="00813080">
      <w:pPr>
        <w:numPr>
          <w:ilvl w:val="0"/>
          <w:numId w:val="6"/>
        </w:numPr>
        <w:jc w:val="both"/>
        <w:rPr>
          <w:lang w:val="it-IT"/>
        </w:rPr>
      </w:pPr>
      <w:r w:rsidRPr="008A1DDD">
        <w:rPr>
          <w:lang w:val="it-IT"/>
        </w:rPr>
        <w:t>alla sottoscrizione dei primi contratti trasformativi.</w:t>
      </w:r>
    </w:p>
    <w:p w14:paraId="1781B85B" w14:textId="77777777" w:rsidR="00C64095" w:rsidRDefault="00C64095" w:rsidP="00813080">
      <w:pPr>
        <w:jc w:val="both"/>
        <w:rPr>
          <w:lang w:val="it-IT"/>
        </w:rPr>
      </w:pPr>
    </w:p>
    <w:p w14:paraId="10DC86D2" w14:textId="77777777" w:rsidR="00AF285C" w:rsidRDefault="008A1DDD" w:rsidP="00813080">
      <w:pPr>
        <w:jc w:val="both"/>
        <w:rPr>
          <w:lang w:val="it-IT"/>
        </w:rPr>
      </w:pPr>
      <w:proofErr w:type="gramStart"/>
      <w:r w:rsidRPr="008A1DDD">
        <w:rPr>
          <w:lang w:val="it-IT"/>
        </w:rPr>
        <w:t>Il trend</w:t>
      </w:r>
      <w:proofErr w:type="gramEnd"/>
      <w:r w:rsidRPr="008A1DDD">
        <w:rPr>
          <w:lang w:val="it-IT"/>
        </w:rPr>
        <w:t xml:space="preserve"> CNR 2015-2020 per le stesse tipologie di pubblicazione è visibile nel grafico a seguire e mostra che in </w:t>
      </w:r>
      <w:proofErr w:type="spellStart"/>
      <w:r w:rsidRPr="008A1DDD">
        <w:rPr>
          <w:lang w:val="it-IT"/>
        </w:rPr>
        <w:t>WoS</w:t>
      </w:r>
      <w:proofErr w:type="spellEnd"/>
      <w:r w:rsidRPr="008A1DDD">
        <w:rPr>
          <w:lang w:val="it-IT"/>
        </w:rPr>
        <w:t>, a gennaio 2021, erano presenti circa 66.000 pubblicazioni CNR di cui circa 48.500 in riviste di editori con i quali l’ente sottoscrive un contratto centralizzato, e circa 17.400 in riviste di editori con i quali NON vengono sottoscritti contratti centralizzati.</w:t>
      </w:r>
    </w:p>
    <w:p w14:paraId="0D88B2F1" w14:textId="77777777" w:rsidR="00AF285C" w:rsidRDefault="00AF285C" w:rsidP="00813080">
      <w:pPr>
        <w:jc w:val="both"/>
        <w:rPr>
          <w:lang w:val="it-IT"/>
        </w:rPr>
      </w:pPr>
    </w:p>
    <w:p w14:paraId="03976ECA" w14:textId="772CD232" w:rsidR="007950A8" w:rsidRPr="008A1DDD" w:rsidRDefault="008A1DDD" w:rsidP="00813080">
      <w:pPr>
        <w:jc w:val="both"/>
        <w:rPr>
          <w:lang w:val="it-IT"/>
        </w:rPr>
      </w:pPr>
      <w:r w:rsidRPr="008A1DDD">
        <w:rPr>
          <w:lang w:val="it-IT"/>
        </w:rPr>
        <w:t>Nello stesso grafico è possibile vedere l’andamento, sempre in crescita, delle pubblicazioni totali (in blu) a partire dal 2015.</w:t>
      </w:r>
    </w:p>
    <w:p w14:paraId="13A1D7D3" w14:textId="77777777" w:rsidR="00AF285C" w:rsidRDefault="00AF285C" w:rsidP="00813080">
      <w:pPr>
        <w:jc w:val="both"/>
        <w:rPr>
          <w:lang w:val="it-IT"/>
        </w:rPr>
      </w:pPr>
    </w:p>
    <w:p w14:paraId="6381FA78" w14:textId="504574E2" w:rsidR="007950A8" w:rsidRDefault="008A1DDD" w:rsidP="00813080">
      <w:pPr>
        <w:jc w:val="both"/>
        <w:rPr>
          <w:lang w:val="it-IT"/>
        </w:rPr>
      </w:pPr>
      <w:r w:rsidRPr="008A1DDD">
        <w:rPr>
          <w:lang w:val="it-IT"/>
        </w:rPr>
        <w:t xml:space="preserve">La linea grigia evidenzia la diminuzione del numero di pubblicazioni Non OA, alla quale corrisponde lo spiccato aumento delle pubblicazioni su riviste Gold OA e </w:t>
      </w:r>
      <w:proofErr w:type="spellStart"/>
      <w:r w:rsidRPr="008A1DDD">
        <w:rPr>
          <w:lang w:val="it-IT"/>
        </w:rPr>
        <w:t>Hybrid</w:t>
      </w:r>
      <w:proofErr w:type="spellEnd"/>
      <w:r w:rsidRPr="008A1DDD">
        <w:rPr>
          <w:lang w:val="it-IT"/>
        </w:rPr>
        <w:t xml:space="preserve"> OA di cui sopra.</w:t>
      </w:r>
    </w:p>
    <w:p w14:paraId="384EF118" w14:textId="77777777" w:rsidR="00813080" w:rsidRPr="008A1DDD" w:rsidRDefault="00813080" w:rsidP="00813080">
      <w:pPr>
        <w:jc w:val="both"/>
        <w:rPr>
          <w:lang w:val="it-IT"/>
        </w:rPr>
      </w:pPr>
    </w:p>
    <w:p w14:paraId="0C72CB8D" w14:textId="6DE2CE8D" w:rsidR="007950A8" w:rsidRDefault="00C64095">
      <w:pPr>
        <w:spacing w:after="240" w:line="240" w:lineRule="auto"/>
        <w:jc w:val="center"/>
      </w:pPr>
      <w:r>
        <w:rPr>
          <w:noProof/>
        </w:rPr>
        <w:lastRenderedPageBreak/>
        <w:drawing>
          <wp:inline distT="0" distB="0" distL="0" distR="0" wp14:anchorId="279D49F9" wp14:editId="1A6ED75B">
            <wp:extent cx="6202602" cy="2843653"/>
            <wp:effectExtent l="19050" t="19050" r="27305" b="139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4502" cy="2844524"/>
                    </a:xfrm>
                    <a:prstGeom prst="rect">
                      <a:avLst/>
                    </a:prstGeom>
                    <a:noFill/>
                    <a:ln>
                      <a:solidFill>
                        <a:schemeClr val="tx1">
                          <a:lumMod val="65000"/>
                          <a:lumOff val="35000"/>
                        </a:schemeClr>
                      </a:solidFill>
                    </a:ln>
                  </pic:spPr>
                </pic:pic>
              </a:graphicData>
            </a:graphic>
          </wp:inline>
        </w:drawing>
      </w:r>
    </w:p>
    <w:p w14:paraId="0DC022B0" w14:textId="77777777" w:rsidR="00AF285C" w:rsidRPr="00AF285C" w:rsidRDefault="00AF285C" w:rsidP="00AF285C">
      <w:pPr>
        <w:spacing w:after="240"/>
        <w:jc w:val="center"/>
        <w:rPr>
          <w:i/>
          <w:iCs/>
          <w:sz w:val="18"/>
          <w:szCs w:val="18"/>
          <w:lang w:val="it-IT"/>
        </w:rPr>
      </w:pPr>
      <w:r w:rsidRPr="00AF285C">
        <w:rPr>
          <w:i/>
          <w:iCs/>
          <w:sz w:val="18"/>
          <w:szCs w:val="18"/>
          <w:lang w:val="it-IT"/>
        </w:rPr>
        <w:t>Grafico 2 - Analisi delle pubblicazioni 2015-2020 – Trend CNR</w:t>
      </w:r>
    </w:p>
    <w:p w14:paraId="2AF7A0AA" w14:textId="2B2FCCEA" w:rsidR="007950A8" w:rsidRDefault="008A1DDD" w:rsidP="00813080">
      <w:pPr>
        <w:jc w:val="both"/>
        <w:rPr>
          <w:lang w:val="it-IT"/>
        </w:rPr>
      </w:pPr>
      <w:r w:rsidRPr="008A1DDD">
        <w:rPr>
          <w:lang w:val="it-IT"/>
        </w:rPr>
        <w:t>Il dettaglio delle pubblicazioni CNR sui Top 25 editori scelti dagli autori, nelle stesse annate e nelle stesse tipologie di pubblicazione, dimostra che:</w:t>
      </w:r>
    </w:p>
    <w:p w14:paraId="63D4E940" w14:textId="77777777" w:rsidR="00C64095" w:rsidRPr="008A1DDD" w:rsidRDefault="00C64095" w:rsidP="00813080">
      <w:pPr>
        <w:jc w:val="both"/>
        <w:rPr>
          <w:lang w:val="it-IT"/>
        </w:rPr>
      </w:pPr>
    </w:p>
    <w:p w14:paraId="78DB5553" w14:textId="3C79A5D9" w:rsidR="007950A8" w:rsidRDefault="008A1DDD" w:rsidP="00813080">
      <w:pPr>
        <w:numPr>
          <w:ilvl w:val="0"/>
          <w:numId w:val="3"/>
        </w:numPr>
        <w:jc w:val="both"/>
        <w:rPr>
          <w:lang w:val="it-IT"/>
        </w:rPr>
      </w:pPr>
      <w:r w:rsidRPr="008A1DDD">
        <w:rPr>
          <w:lang w:val="it-IT"/>
        </w:rPr>
        <w:t xml:space="preserve">nel </w:t>
      </w:r>
      <w:r w:rsidRPr="008A1DDD">
        <w:rPr>
          <w:b/>
          <w:lang w:val="it-IT"/>
        </w:rPr>
        <w:t>2015</w:t>
      </w:r>
      <w:r w:rsidRPr="008A1DDD">
        <w:rPr>
          <w:lang w:val="it-IT"/>
        </w:rPr>
        <w:t xml:space="preserve">, la percentuale del numero di articoli era attribuibile ai 3 big editori multidisciplinari (Elsevier, Springer e Wiley) e costituiva il 51% del totale Top 25, mentre per gli editori Gold OA </w:t>
      </w:r>
      <w:proofErr w:type="gramStart"/>
      <w:r w:rsidRPr="008A1DDD">
        <w:rPr>
          <w:lang w:val="it-IT"/>
        </w:rPr>
        <w:t>come  PLOS</w:t>
      </w:r>
      <w:proofErr w:type="gramEnd"/>
      <w:r w:rsidRPr="008A1DDD">
        <w:rPr>
          <w:lang w:val="it-IT"/>
        </w:rPr>
        <w:t xml:space="preserve">, MDPI, </w:t>
      </w:r>
      <w:proofErr w:type="spellStart"/>
      <w:r w:rsidRPr="008A1DDD">
        <w:rPr>
          <w:lang w:val="it-IT"/>
        </w:rPr>
        <w:t>Hindawi</w:t>
      </w:r>
      <w:proofErr w:type="spellEnd"/>
      <w:r w:rsidRPr="008A1DDD">
        <w:rPr>
          <w:lang w:val="it-IT"/>
        </w:rPr>
        <w:t xml:space="preserve"> e </w:t>
      </w:r>
      <w:proofErr w:type="spellStart"/>
      <w:r w:rsidRPr="008A1DDD">
        <w:rPr>
          <w:lang w:val="it-IT"/>
        </w:rPr>
        <w:t>Frontiers</w:t>
      </w:r>
      <w:proofErr w:type="spellEnd"/>
      <w:r w:rsidRPr="008A1DDD">
        <w:rPr>
          <w:lang w:val="it-IT"/>
        </w:rPr>
        <w:t xml:space="preserve"> la percentuale era solo del 7%;</w:t>
      </w:r>
    </w:p>
    <w:p w14:paraId="21DC3FCA" w14:textId="77777777" w:rsidR="00C64095" w:rsidRPr="008A1DDD" w:rsidRDefault="00C64095" w:rsidP="00813080">
      <w:pPr>
        <w:numPr>
          <w:ilvl w:val="0"/>
          <w:numId w:val="3"/>
        </w:numPr>
        <w:jc w:val="both"/>
        <w:rPr>
          <w:lang w:val="it-IT"/>
        </w:rPr>
      </w:pPr>
    </w:p>
    <w:p w14:paraId="11653A81" w14:textId="77777777" w:rsidR="007950A8" w:rsidRPr="008A1DDD" w:rsidRDefault="008A1DDD" w:rsidP="00813080">
      <w:pPr>
        <w:numPr>
          <w:ilvl w:val="0"/>
          <w:numId w:val="3"/>
        </w:numPr>
        <w:jc w:val="both"/>
        <w:rPr>
          <w:lang w:val="it-IT"/>
        </w:rPr>
      </w:pPr>
      <w:r w:rsidRPr="008A1DDD">
        <w:rPr>
          <w:lang w:val="it-IT"/>
        </w:rPr>
        <w:t xml:space="preserve">nel </w:t>
      </w:r>
      <w:r w:rsidRPr="008A1DDD">
        <w:rPr>
          <w:b/>
          <w:lang w:val="it-IT"/>
        </w:rPr>
        <w:t>2020,</w:t>
      </w:r>
      <w:r w:rsidRPr="008A1DDD">
        <w:rPr>
          <w:lang w:val="it-IT"/>
        </w:rPr>
        <w:t xml:space="preserve"> la percentuale delle pubblicazioni dei 3 big editori era scesa al 43%, mentre gli editori Gold OA, in particolare MDPI e </w:t>
      </w:r>
      <w:proofErr w:type="spellStart"/>
      <w:r w:rsidRPr="008A1DDD">
        <w:rPr>
          <w:lang w:val="it-IT"/>
        </w:rPr>
        <w:t>Frontiers</w:t>
      </w:r>
      <w:proofErr w:type="spellEnd"/>
      <w:r w:rsidRPr="008A1DDD">
        <w:rPr>
          <w:lang w:val="it-IT"/>
        </w:rPr>
        <w:t xml:space="preserve"> hanno pubblicato il 26% degli articoli scientifici nei Top 25 e, addirittura, MDPI si trova al secondo posto subito dopo Elsevier.</w:t>
      </w:r>
    </w:p>
    <w:p w14:paraId="0DA5661A" w14:textId="77777777" w:rsidR="00C64095" w:rsidRDefault="00C64095" w:rsidP="00813080">
      <w:pPr>
        <w:jc w:val="both"/>
        <w:rPr>
          <w:lang w:val="it-IT"/>
        </w:rPr>
      </w:pPr>
    </w:p>
    <w:p w14:paraId="73822952" w14:textId="1987E693" w:rsidR="007950A8" w:rsidRPr="008A1DDD" w:rsidRDefault="008A1DDD" w:rsidP="00813080">
      <w:pPr>
        <w:jc w:val="both"/>
        <w:rPr>
          <w:lang w:val="it-IT"/>
        </w:rPr>
      </w:pPr>
      <w:r w:rsidRPr="008A1DDD">
        <w:rPr>
          <w:lang w:val="it-IT"/>
        </w:rPr>
        <w:t>Gli editori disciplinari come ASC, RSC, APS, IOP e AIP restano invece, più o meno, nelle stesse posizioni nei due anni a confronto.</w:t>
      </w:r>
    </w:p>
    <w:p w14:paraId="7F193C30" w14:textId="77777777" w:rsidR="00C64095" w:rsidRDefault="00C64095" w:rsidP="00813080">
      <w:pPr>
        <w:jc w:val="both"/>
        <w:rPr>
          <w:lang w:val="it-IT"/>
        </w:rPr>
      </w:pPr>
    </w:p>
    <w:p w14:paraId="63783369" w14:textId="2D53B37B" w:rsidR="007950A8" w:rsidRDefault="008A1DDD" w:rsidP="00813080">
      <w:pPr>
        <w:jc w:val="both"/>
        <w:rPr>
          <w:lang w:val="it-IT"/>
        </w:rPr>
      </w:pPr>
      <w:r w:rsidRPr="008A1DDD">
        <w:rPr>
          <w:lang w:val="it-IT"/>
        </w:rPr>
        <w:t>L’analisi è proseguita andando a verificare le pubblicazioni degli autori CNR nelle Top 25 riviste, sempre nello stesso range di anni.</w:t>
      </w:r>
    </w:p>
    <w:p w14:paraId="15593078" w14:textId="4AF3E33B" w:rsidR="007950A8" w:rsidRDefault="00C64095">
      <w:pPr>
        <w:spacing w:before="240" w:after="240" w:line="240" w:lineRule="auto"/>
        <w:jc w:val="center"/>
      </w:pPr>
      <w:r>
        <w:rPr>
          <w:noProof/>
        </w:rPr>
        <w:lastRenderedPageBreak/>
        <w:drawing>
          <wp:inline distT="0" distB="0" distL="0" distR="0" wp14:anchorId="35456F7B" wp14:editId="01DE5F1F">
            <wp:extent cx="6186576" cy="2632710"/>
            <wp:effectExtent l="19050" t="19050" r="24130" b="152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2" cy="2633619"/>
                    </a:xfrm>
                    <a:prstGeom prst="rect">
                      <a:avLst/>
                    </a:prstGeom>
                    <a:noFill/>
                    <a:ln>
                      <a:solidFill>
                        <a:schemeClr val="tx1">
                          <a:lumMod val="65000"/>
                          <a:lumOff val="35000"/>
                        </a:schemeClr>
                      </a:solidFill>
                    </a:ln>
                  </pic:spPr>
                </pic:pic>
              </a:graphicData>
            </a:graphic>
          </wp:inline>
        </w:drawing>
      </w:r>
    </w:p>
    <w:p w14:paraId="09612668" w14:textId="6E7957A9" w:rsidR="00AF285C" w:rsidRPr="00AF285C" w:rsidRDefault="00AF285C">
      <w:pPr>
        <w:spacing w:before="240" w:after="240" w:line="240" w:lineRule="auto"/>
        <w:jc w:val="center"/>
        <w:rPr>
          <w:i/>
          <w:iCs/>
          <w:sz w:val="18"/>
          <w:szCs w:val="18"/>
          <w:lang w:val="it-IT"/>
        </w:rPr>
      </w:pPr>
      <w:r w:rsidRPr="00AF285C">
        <w:rPr>
          <w:i/>
          <w:iCs/>
          <w:sz w:val="18"/>
          <w:szCs w:val="18"/>
          <w:lang w:val="it-IT"/>
        </w:rPr>
        <w:t>Grafico 3 - Dettaglio delle pubblicazioni CNR 2015 e 2020 – Prime 25 riviste</w:t>
      </w:r>
    </w:p>
    <w:p w14:paraId="19A51F99" w14:textId="1EFE714D" w:rsidR="007950A8" w:rsidRPr="008A1DDD" w:rsidRDefault="008A1DDD" w:rsidP="00CA5D9C">
      <w:pPr>
        <w:jc w:val="both"/>
        <w:rPr>
          <w:lang w:val="it-IT"/>
        </w:rPr>
      </w:pPr>
      <w:r w:rsidRPr="008A1DDD">
        <w:rPr>
          <w:b/>
          <w:lang w:val="it-IT"/>
        </w:rPr>
        <w:t>Nel 2015</w:t>
      </w:r>
      <w:r w:rsidRPr="008A1DDD">
        <w:rPr>
          <w:lang w:val="it-IT"/>
        </w:rPr>
        <w:t xml:space="preserve"> il numero di articoli in riviste tradizionali (n. 18) rappresentava il 63% delle Top 25 riviste, mentre il numero degli articoli nelle riviste Gold (n. 7) rappresentava solo il 37%, ma già nel 2015, 2 riviste Gold (Plos one e NPG Scientific reports) erano nelle prime 3 Top25 riviste.</w:t>
      </w:r>
    </w:p>
    <w:p w14:paraId="6EB9E64E" w14:textId="77777777" w:rsidR="007950A8" w:rsidRPr="008A1DDD" w:rsidRDefault="008A1DDD" w:rsidP="00CA5D9C">
      <w:pPr>
        <w:spacing w:before="120"/>
        <w:jc w:val="both"/>
        <w:rPr>
          <w:lang w:val="it-IT"/>
        </w:rPr>
      </w:pPr>
      <w:r w:rsidRPr="008A1DDD">
        <w:rPr>
          <w:b/>
          <w:lang w:val="it-IT"/>
        </w:rPr>
        <w:t>Nel 2020</w:t>
      </w:r>
      <w:r w:rsidRPr="008A1DDD">
        <w:rPr>
          <w:lang w:val="it-IT"/>
        </w:rPr>
        <w:t xml:space="preserve"> la situazione si ribalta: gli articoli nelle riviste Gold coprono il 76% delle Top 25, mentre gli articoli nelle riviste tradizionali sono solo il 24%; in questo anno sono presenti 18 riviste Gold, di cui ben 15 sono MDPI, che nel 2015 non era proprio presente nelle Top 25 Riviste.</w:t>
      </w:r>
    </w:p>
    <w:p w14:paraId="6CC5213D" w14:textId="6335DC38" w:rsidR="007950A8" w:rsidRPr="008A1DDD" w:rsidRDefault="008A1DDD" w:rsidP="00CA5D9C">
      <w:pPr>
        <w:spacing w:before="120"/>
        <w:jc w:val="both"/>
        <w:rPr>
          <w:lang w:val="it-IT"/>
        </w:rPr>
      </w:pPr>
      <w:r w:rsidRPr="008A1DDD">
        <w:rPr>
          <w:lang w:val="it-IT"/>
        </w:rPr>
        <w:t xml:space="preserve">Tra le riviste Gold, si può osservare la tenuta di Scientific reports di NPG, mentre il numero di articoli sulla prima rivista del 2015, Plos one, scende vertiginosamente e non sono più presenti articoli nelle riviste Gold che erano nelle Top 25 del 2015, come RSC </w:t>
      </w:r>
      <w:proofErr w:type="spellStart"/>
      <w:r w:rsidRPr="008A1DDD">
        <w:rPr>
          <w:lang w:val="it-IT"/>
        </w:rPr>
        <w:t>Advances</w:t>
      </w:r>
      <w:proofErr w:type="spellEnd"/>
      <w:r w:rsidRPr="008A1DDD">
        <w:rPr>
          <w:lang w:val="it-IT"/>
        </w:rPr>
        <w:t xml:space="preserve">, </w:t>
      </w:r>
      <w:proofErr w:type="spellStart"/>
      <w:r w:rsidRPr="008A1DDD">
        <w:rPr>
          <w:lang w:val="it-IT"/>
        </w:rPr>
        <w:t>Oncotarget</w:t>
      </w:r>
      <w:proofErr w:type="spellEnd"/>
      <w:r w:rsidRPr="008A1DDD">
        <w:rPr>
          <w:lang w:val="it-IT"/>
        </w:rPr>
        <w:t xml:space="preserve"> di Impact journals, </w:t>
      </w:r>
      <w:proofErr w:type="spellStart"/>
      <w:r w:rsidRPr="008A1DDD">
        <w:rPr>
          <w:lang w:val="it-IT"/>
        </w:rPr>
        <w:t>Hindawi</w:t>
      </w:r>
      <w:proofErr w:type="spellEnd"/>
      <w:r w:rsidRPr="008A1DDD">
        <w:rPr>
          <w:lang w:val="it-IT"/>
        </w:rPr>
        <w:t xml:space="preserve"> e OSA.</w:t>
      </w:r>
    </w:p>
    <w:p w14:paraId="6199185F" w14:textId="6A60E8F2" w:rsidR="007950A8" w:rsidRPr="008A1DDD" w:rsidRDefault="008A1DDD" w:rsidP="00CA5D9C">
      <w:pPr>
        <w:spacing w:before="120"/>
        <w:jc w:val="both"/>
        <w:rPr>
          <w:lang w:val="it-IT"/>
        </w:rPr>
      </w:pPr>
      <w:r w:rsidRPr="008A1DDD">
        <w:rPr>
          <w:lang w:val="it-IT"/>
        </w:rPr>
        <w:t>Inoltre, nel 2020, gli articoli in riviste tradizionali sono quelli presenti in editori disciplinari come APS, ACS, RSC e due riviste Elsevier.</w:t>
      </w:r>
    </w:p>
    <w:p w14:paraId="4948CE0D" w14:textId="764F1C6E" w:rsidR="007950A8" w:rsidRDefault="008A1DDD" w:rsidP="00CA5D9C">
      <w:pPr>
        <w:spacing w:before="120"/>
        <w:jc w:val="both"/>
        <w:rPr>
          <w:lang w:val="it-IT"/>
        </w:rPr>
      </w:pPr>
      <w:r w:rsidRPr="008A1DDD">
        <w:rPr>
          <w:lang w:val="it-IT"/>
        </w:rPr>
        <w:t>I dati fin qui esposti sono stati poi utilizzati come strumento per la stima delle spese per APC in carico ai singoli istituti perché non coperte da un contratto trasformativo.</w:t>
      </w:r>
    </w:p>
    <w:p w14:paraId="01DFFE06" w14:textId="77777777" w:rsidR="00AF285C" w:rsidRDefault="00AF285C" w:rsidP="00AF285C">
      <w:pPr>
        <w:jc w:val="both"/>
        <w:rPr>
          <w:lang w:val="it-IT"/>
        </w:rPr>
      </w:pPr>
    </w:p>
    <w:p w14:paraId="5293B2BE" w14:textId="4A961FB5" w:rsidR="00AF285C" w:rsidRDefault="00AF285C" w:rsidP="00AF285C">
      <w:pPr>
        <w:jc w:val="both"/>
        <w:rPr>
          <w:lang w:val="it-IT"/>
        </w:rPr>
      </w:pPr>
      <w:r w:rsidRPr="008A1DDD">
        <w:rPr>
          <w:lang w:val="it-IT"/>
        </w:rPr>
        <w:t xml:space="preserve">Nel grafico </w:t>
      </w:r>
      <w:proofErr w:type="gramStart"/>
      <w:r>
        <w:rPr>
          <w:lang w:val="it-IT"/>
        </w:rPr>
        <w:t>4</w:t>
      </w:r>
      <w:proofErr w:type="gramEnd"/>
      <w:r>
        <w:rPr>
          <w:lang w:val="it-IT"/>
        </w:rPr>
        <w:t xml:space="preserve"> </w:t>
      </w:r>
      <w:r w:rsidRPr="008A1DDD">
        <w:rPr>
          <w:lang w:val="it-IT"/>
        </w:rPr>
        <w:t xml:space="preserve">si può osservare la crescita del numero di articoli in riviste </w:t>
      </w:r>
      <w:proofErr w:type="spellStart"/>
      <w:r w:rsidRPr="008A1DDD">
        <w:rPr>
          <w:lang w:val="it-IT"/>
        </w:rPr>
        <w:t>Hybrid</w:t>
      </w:r>
      <w:proofErr w:type="spellEnd"/>
      <w:r w:rsidRPr="008A1DDD">
        <w:rPr>
          <w:lang w:val="it-IT"/>
        </w:rPr>
        <w:t xml:space="preserve"> e degli articoli con </w:t>
      </w:r>
      <w:proofErr w:type="spellStart"/>
      <w:r w:rsidRPr="008A1DDD">
        <w:rPr>
          <w:lang w:val="it-IT"/>
        </w:rPr>
        <w:t>Corresponding</w:t>
      </w:r>
      <w:proofErr w:type="spellEnd"/>
      <w:r w:rsidRPr="008A1DDD">
        <w:rPr>
          <w:lang w:val="it-IT"/>
        </w:rPr>
        <w:t xml:space="preserve"> Author CNR (in verde).</w:t>
      </w:r>
    </w:p>
    <w:p w14:paraId="073CF4C6" w14:textId="77777777" w:rsidR="00AF285C" w:rsidRPr="008A1DDD" w:rsidRDefault="00AF285C" w:rsidP="00AF285C">
      <w:pPr>
        <w:jc w:val="both"/>
        <w:rPr>
          <w:lang w:val="it-IT"/>
        </w:rPr>
      </w:pPr>
    </w:p>
    <w:p w14:paraId="488709ED" w14:textId="77777777" w:rsidR="00AF285C" w:rsidRDefault="00AF285C" w:rsidP="00AF285C">
      <w:pPr>
        <w:jc w:val="both"/>
        <w:rPr>
          <w:b/>
          <w:lang w:val="it-IT"/>
        </w:rPr>
      </w:pPr>
      <w:r w:rsidRPr="008A1DDD">
        <w:rPr>
          <w:lang w:val="it-IT"/>
        </w:rPr>
        <w:t xml:space="preserve">Considerando una APC media di 1.700 € per le riviste </w:t>
      </w:r>
      <w:proofErr w:type="spellStart"/>
      <w:r w:rsidRPr="008A1DDD">
        <w:rPr>
          <w:lang w:val="it-IT"/>
        </w:rPr>
        <w:t>Hybrid</w:t>
      </w:r>
      <w:proofErr w:type="spellEnd"/>
      <w:r w:rsidRPr="008A1DDD">
        <w:rPr>
          <w:lang w:val="it-IT"/>
        </w:rPr>
        <w:t xml:space="preserve">, l’andamento della linea verde conduce a una stima della spesa 2020 di </w:t>
      </w:r>
      <w:r w:rsidRPr="008A1DDD">
        <w:rPr>
          <w:b/>
          <w:lang w:val="it-IT"/>
        </w:rPr>
        <w:t>€ 283.900.</w:t>
      </w:r>
    </w:p>
    <w:p w14:paraId="54028D44" w14:textId="77777777" w:rsidR="00AF285C" w:rsidRDefault="00AF285C" w:rsidP="00CA5D9C">
      <w:pPr>
        <w:spacing w:before="120"/>
        <w:jc w:val="both"/>
        <w:rPr>
          <w:lang w:val="it-IT"/>
        </w:rPr>
      </w:pPr>
    </w:p>
    <w:p w14:paraId="71957601" w14:textId="268B755F" w:rsidR="00DC7AD3" w:rsidRPr="008A1DDD" w:rsidRDefault="00DC7AD3" w:rsidP="00AF285C">
      <w:pPr>
        <w:spacing w:before="120"/>
        <w:jc w:val="center"/>
        <w:rPr>
          <w:lang w:val="it-IT"/>
        </w:rPr>
      </w:pPr>
      <w:r>
        <w:rPr>
          <w:noProof/>
          <w:lang w:val="it-IT"/>
        </w:rPr>
        <w:lastRenderedPageBreak/>
        <w:drawing>
          <wp:inline distT="0" distB="0" distL="0" distR="0" wp14:anchorId="730DA01B" wp14:editId="6CFA72E7">
            <wp:extent cx="6414733" cy="2830830"/>
            <wp:effectExtent l="19050" t="19050" r="24765" b="266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289" cy="2831958"/>
                    </a:xfrm>
                    <a:prstGeom prst="rect">
                      <a:avLst/>
                    </a:prstGeom>
                    <a:noFill/>
                    <a:ln>
                      <a:solidFill>
                        <a:schemeClr val="tx1">
                          <a:lumMod val="65000"/>
                          <a:lumOff val="35000"/>
                        </a:schemeClr>
                      </a:solidFill>
                    </a:ln>
                  </pic:spPr>
                </pic:pic>
              </a:graphicData>
            </a:graphic>
          </wp:inline>
        </w:drawing>
      </w:r>
    </w:p>
    <w:p w14:paraId="37FDEEB0" w14:textId="77777777" w:rsidR="00AF285C" w:rsidRPr="00AF285C" w:rsidRDefault="00AF285C" w:rsidP="00AF285C">
      <w:pPr>
        <w:spacing w:before="40"/>
        <w:jc w:val="center"/>
        <w:rPr>
          <w:i/>
          <w:iCs/>
          <w:sz w:val="18"/>
          <w:szCs w:val="18"/>
          <w:lang w:val="it-IT"/>
        </w:rPr>
      </w:pPr>
      <w:r w:rsidRPr="00AF285C">
        <w:rPr>
          <w:i/>
          <w:iCs/>
          <w:sz w:val="18"/>
          <w:szCs w:val="18"/>
          <w:lang w:val="it-IT"/>
        </w:rPr>
        <w:t xml:space="preserve">Grafico 4 - Trend </w:t>
      </w:r>
      <w:proofErr w:type="spellStart"/>
      <w:r w:rsidRPr="00AF285C">
        <w:rPr>
          <w:i/>
          <w:iCs/>
          <w:sz w:val="18"/>
          <w:szCs w:val="18"/>
          <w:lang w:val="it-IT"/>
        </w:rPr>
        <w:t>APCs</w:t>
      </w:r>
      <w:proofErr w:type="spellEnd"/>
      <w:r w:rsidRPr="00AF285C">
        <w:rPr>
          <w:i/>
          <w:iCs/>
          <w:sz w:val="18"/>
          <w:szCs w:val="18"/>
          <w:lang w:val="it-IT"/>
        </w:rPr>
        <w:t xml:space="preserve"> CNR 2015-2020 – Riviste </w:t>
      </w:r>
      <w:proofErr w:type="spellStart"/>
      <w:r w:rsidRPr="00AF285C">
        <w:rPr>
          <w:i/>
          <w:iCs/>
          <w:sz w:val="18"/>
          <w:szCs w:val="18"/>
          <w:lang w:val="it-IT"/>
        </w:rPr>
        <w:t>Hybrid</w:t>
      </w:r>
      <w:proofErr w:type="spellEnd"/>
      <w:r w:rsidRPr="00AF285C">
        <w:rPr>
          <w:i/>
          <w:iCs/>
          <w:sz w:val="18"/>
          <w:szCs w:val="18"/>
          <w:lang w:val="it-IT"/>
        </w:rPr>
        <w:t xml:space="preserve"> OA</w:t>
      </w:r>
    </w:p>
    <w:p w14:paraId="1DA9B6B0" w14:textId="704E471F" w:rsidR="00DC7AD3" w:rsidRDefault="00DC7AD3" w:rsidP="00D119E1">
      <w:pPr>
        <w:jc w:val="both"/>
        <w:rPr>
          <w:lang w:val="it-IT"/>
        </w:rPr>
      </w:pPr>
    </w:p>
    <w:p w14:paraId="6D1E856B" w14:textId="77777777" w:rsidR="00AF285C" w:rsidRDefault="00AF285C" w:rsidP="00AF285C">
      <w:pPr>
        <w:jc w:val="both"/>
        <w:rPr>
          <w:lang w:val="it-IT"/>
        </w:rPr>
      </w:pPr>
    </w:p>
    <w:p w14:paraId="7F50DDB3" w14:textId="5C5612DD" w:rsidR="00AF285C" w:rsidRDefault="00AF285C" w:rsidP="00AF285C">
      <w:pPr>
        <w:jc w:val="both"/>
        <w:rPr>
          <w:b/>
          <w:lang w:val="it-IT"/>
        </w:rPr>
      </w:pPr>
      <w:r w:rsidRPr="008A1DDD">
        <w:rPr>
          <w:lang w:val="it-IT"/>
        </w:rPr>
        <w:t xml:space="preserve">La stessa analisi, applicata alle riviste Gold (secondo grafico) mostra che anche in questo caso il numero di articoli in riviste Gold cresce così come il numero dii articoli con </w:t>
      </w:r>
      <w:proofErr w:type="spellStart"/>
      <w:r w:rsidRPr="008A1DDD">
        <w:rPr>
          <w:lang w:val="it-IT"/>
        </w:rPr>
        <w:t>Corresponding</w:t>
      </w:r>
      <w:proofErr w:type="spellEnd"/>
      <w:r w:rsidRPr="008A1DDD">
        <w:rPr>
          <w:lang w:val="it-IT"/>
        </w:rPr>
        <w:t xml:space="preserve"> Author CNR (in verde). Per le riviste Gold è stata considerata una APC media di 1.400 € per un totale 2020 di </w:t>
      </w:r>
      <w:r w:rsidRPr="008A1DDD">
        <w:rPr>
          <w:b/>
          <w:lang w:val="it-IT"/>
        </w:rPr>
        <w:t>€ 2.500.000.</w:t>
      </w:r>
    </w:p>
    <w:p w14:paraId="060B6C92" w14:textId="77777777" w:rsidR="00AF285C" w:rsidRDefault="00AF285C" w:rsidP="00D119E1">
      <w:pPr>
        <w:jc w:val="both"/>
        <w:rPr>
          <w:lang w:val="it-IT"/>
        </w:rPr>
      </w:pPr>
    </w:p>
    <w:p w14:paraId="0F5BDF59" w14:textId="77777777" w:rsidR="00AF285C" w:rsidRDefault="00AF285C" w:rsidP="00D119E1">
      <w:pPr>
        <w:jc w:val="both"/>
        <w:rPr>
          <w:lang w:val="it-IT"/>
        </w:rPr>
      </w:pPr>
    </w:p>
    <w:p w14:paraId="69DE8A4B" w14:textId="77777777" w:rsidR="00DC7AD3" w:rsidRDefault="00DC7AD3" w:rsidP="00D119E1">
      <w:pPr>
        <w:jc w:val="both"/>
        <w:rPr>
          <w:b/>
          <w:lang w:val="it-IT"/>
        </w:rPr>
      </w:pPr>
    </w:p>
    <w:p w14:paraId="413085BF" w14:textId="2CA2B44F" w:rsidR="00DC7AD3" w:rsidRDefault="00DC7AD3" w:rsidP="00694B0D">
      <w:pPr>
        <w:jc w:val="center"/>
        <w:rPr>
          <w:b/>
          <w:lang w:val="it-IT"/>
        </w:rPr>
      </w:pPr>
      <w:r>
        <w:rPr>
          <w:b/>
          <w:noProof/>
          <w:lang w:val="it-IT"/>
        </w:rPr>
        <w:drawing>
          <wp:inline distT="0" distB="0" distL="0" distR="0" wp14:anchorId="5A2CE9DB" wp14:editId="257C4D00">
            <wp:extent cx="6328410" cy="2765882"/>
            <wp:effectExtent l="19050" t="19050" r="1524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9817" cy="2766497"/>
                    </a:xfrm>
                    <a:prstGeom prst="rect">
                      <a:avLst/>
                    </a:prstGeom>
                    <a:noFill/>
                    <a:ln>
                      <a:solidFill>
                        <a:schemeClr val="tx1">
                          <a:lumMod val="65000"/>
                          <a:lumOff val="35000"/>
                        </a:schemeClr>
                      </a:solidFill>
                    </a:ln>
                  </pic:spPr>
                </pic:pic>
              </a:graphicData>
            </a:graphic>
          </wp:inline>
        </w:drawing>
      </w:r>
    </w:p>
    <w:p w14:paraId="5B59D442" w14:textId="77777777" w:rsidR="00AF285C" w:rsidRPr="00AF285C" w:rsidRDefault="00AF285C" w:rsidP="00AF285C">
      <w:pPr>
        <w:spacing w:before="40"/>
        <w:jc w:val="center"/>
        <w:rPr>
          <w:bCs/>
          <w:i/>
          <w:iCs/>
          <w:sz w:val="18"/>
          <w:szCs w:val="18"/>
          <w:lang w:val="it-IT"/>
        </w:rPr>
      </w:pPr>
      <w:r w:rsidRPr="00AF285C">
        <w:rPr>
          <w:bCs/>
          <w:i/>
          <w:iCs/>
          <w:sz w:val="18"/>
          <w:szCs w:val="18"/>
          <w:lang w:val="it-IT"/>
        </w:rPr>
        <w:t xml:space="preserve">Grafico 5 - Trend </w:t>
      </w:r>
      <w:proofErr w:type="spellStart"/>
      <w:r w:rsidRPr="00AF285C">
        <w:rPr>
          <w:bCs/>
          <w:i/>
          <w:iCs/>
          <w:sz w:val="18"/>
          <w:szCs w:val="18"/>
          <w:lang w:val="it-IT"/>
        </w:rPr>
        <w:t>APCs</w:t>
      </w:r>
      <w:proofErr w:type="spellEnd"/>
      <w:r w:rsidRPr="00AF285C">
        <w:rPr>
          <w:bCs/>
          <w:i/>
          <w:iCs/>
          <w:sz w:val="18"/>
          <w:szCs w:val="18"/>
          <w:lang w:val="it-IT"/>
        </w:rPr>
        <w:t xml:space="preserve"> CNR 2015-2020 – Riviste Gold OA</w:t>
      </w:r>
    </w:p>
    <w:p w14:paraId="78EBF879" w14:textId="2030CEA1" w:rsidR="00AF285C" w:rsidRPr="008A1DDD" w:rsidRDefault="00AF285C" w:rsidP="00694B0D">
      <w:pPr>
        <w:jc w:val="center"/>
        <w:rPr>
          <w:b/>
          <w:lang w:val="it-IT"/>
        </w:rPr>
      </w:pPr>
    </w:p>
    <w:p w14:paraId="49FB3C31" w14:textId="46410CC6" w:rsidR="00D119E1" w:rsidRDefault="00D119E1" w:rsidP="00D119E1">
      <w:pPr>
        <w:jc w:val="both"/>
        <w:rPr>
          <w:b/>
          <w:lang w:val="it-IT"/>
        </w:rPr>
      </w:pPr>
    </w:p>
    <w:p w14:paraId="4893F420" w14:textId="77777777" w:rsidR="00D119E1" w:rsidRPr="008A1DDD" w:rsidRDefault="00D119E1" w:rsidP="00D119E1">
      <w:pPr>
        <w:jc w:val="both"/>
        <w:rPr>
          <w:b/>
          <w:lang w:val="it-IT"/>
        </w:rPr>
      </w:pPr>
    </w:p>
    <w:p w14:paraId="26E00AB3" w14:textId="34A2C091" w:rsidR="007950A8" w:rsidRDefault="00AF285C">
      <w:pPr>
        <w:spacing w:after="240" w:line="240" w:lineRule="auto"/>
        <w:jc w:val="center"/>
        <w:rPr>
          <w:b/>
        </w:rPr>
      </w:pPr>
      <w:r>
        <w:rPr>
          <w:b/>
          <w:noProof/>
        </w:rPr>
        <w:lastRenderedPageBreak/>
        <w:drawing>
          <wp:inline distT="0" distB="0" distL="0" distR="0" wp14:anchorId="27FC26A5" wp14:editId="29B87984">
            <wp:extent cx="6172536" cy="2678430"/>
            <wp:effectExtent l="19050" t="19050" r="19050" b="266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316" cy="2679202"/>
                    </a:xfrm>
                    <a:prstGeom prst="rect">
                      <a:avLst/>
                    </a:prstGeom>
                    <a:noFill/>
                    <a:ln>
                      <a:solidFill>
                        <a:schemeClr val="tx1">
                          <a:lumMod val="65000"/>
                          <a:lumOff val="35000"/>
                        </a:schemeClr>
                      </a:solidFill>
                    </a:ln>
                  </pic:spPr>
                </pic:pic>
              </a:graphicData>
            </a:graphic>
          </wp:inline>
        </w:drawing>
      </w:r>
    </w:p>
    <w:p w14:paraId="5EF86A00" w14:textId="77777777" w:rsidR="00AF285C" w:rsidRPr="00AF285C" w:rsidRDefault="00AF285C" w:rsidP="00AF285C">
      <w:pPr>
        <w:spacing w:after="240"/>
        <w:jc w:val="center"/>
        <w:rPr>
          <w:bCs/>
          <w:i/>
          <w:iCs/>
          <w:sz w:val="18"/>
          <w:szCs w:val="18"/>
          <w:lang w:val="it-IT"/>
        </w:rPr>
      </w:pPr>
      <w:r w:rsidRPr="00AF285C">
        <w:rPr>
          <w:bCs/>
          <w:i/>
          <w:iCs/>
          <w:sz w:val="18"/>
          <w:szCs w:val="18"/>
          <w:lang w:val="it-IT"/>
        </w:rPr>
        <w:t xml:space="preserve">Grafico 6 - Spesa CNR per abbonamenti e </w:t>
      </w:r>
      <w:proofErr w:type="spellStart"/>
      <w:r w:rsidRPr="00AF285C">
        <w:rPr>
          <w:bCs/>
          <w:i/>
          <w:iCs/>
          <w:sz w:val="18"/>
          <w:szCs w:val="18"/>
          <w:lang w:val="it-IT"/>
        </w:rPr>
        <w:t>APCs</w:t>
      </w:r>
      <w:proofErr w:type="spellEnd"/>
      <w:r w:rsidRPr="00AF285C">
        <w:rPr>
          <w:bCs/>
          <w:i/>
          <w:iCs/>
          <w:sz w:val="18"/>
          <w:szCs w:val="18"/>
          <w:lang w:val="it-IT"/>
        </w:rPr>
        <w:t xml:space="preserve"> - 2020</w:t>
      </w:r>
    </w:p>
    <w:p w14:paraId="7C074E6A" w14:textId="1477C7B0" w:rsidR="007950A8" w:rsidRPr="008A1DDD" w:rsidRDefault="008A1DDD" w:rsidP="00D119E1">
      <w:pPr>
        <w:jc w:val="both"/>
        <w:rPr>
          <w:lang w:val="it-IT"/>
        </w:rPr>
      </w:pPr>
      <w:r w:rsidRPr="008A1DDD">
        <w:rPr>
          <w:lang w:val="it-IT"/>
        </w:rPr>
        <w:t>Dal</w:t>
      </w:r>
      <w:r w:rsidR="00AF285C">
        <w:rPr>
          <w:lang w:val="it-IT"/>
        </w:rPr>
        <w:t xml:space="preserve"> grafico 6</w:t>
      </w:r>
      <w:r w:rsidRPr="008A1DDD">
        <w:rPr>
          <w:lang w:val="it-IT"/>
        </w:rPr>
        <w:t xml:space="preserve"> si evince che la maggior parte delle spese per APC su riviste </w:t>
      </w:r>
      <w:proofErr w:type="spellStart"/>
      <w:r w:rsidRPr="008A1DDD">
        <w:rPr>
          <w:lang w:val="it-IT"/>
        </w:rPr>
        <w:t>Hybrid</w:t>
      </w:r>
      <w:proofErr w:type="spellEnd"/>
      <w:r w:rsidRPr="008A1DDD">
        <w:rPr>
          <w:lang w:val="it-IT"/>
        </w:rPr>
        <w:t xml:space="preserve"> è per i 3 </w:t>
      </w:r>
      <w:r w:rsidR="00AF285C">
        <w:rPr>
          <w:lang w:val="it-IT"/>
        </w:rPr>
        <w:t xml:space="preserve">grandi editori multidisciplinari: </w:t>
      </w:r>
      <w:r w:rsidRPr="008A1DDD">
        <w:rPr>
          <w:lang w:val="it-IT"/>
        </w:rPr>
        <w:t>Elsevier, Wiley e Springer, mentre la spesa diminuisce per gli editori disciplinari. Per le riviste Gold la maggior parte della spesa coinvolge l’editore MDPI, per una quota stimata di 1.500.000 €.</w:t>
      </w:r>
    </w:p>
    <w:p w14:paraId="134894F8" w14:textId="77777777" w:rsidR="00D119E1" w:rsidRDefault="00D119E1" w:rsidP="00D119E1">
      <w:pPr>
        <w:jc w:val="both"/>
        <w:rPr>
          <w:lang w:val="it-IT"/>
        </w:rPr>
      </w:pPr>
    </w:p>
    <w:p w14:paraId="3F582D19" w14:textId="285D1AFE" w:rsidR="007950A8" w:rsidRDefault="008A1DDD" w:rsidP="00D119E1">
      <w:pPr>
        <w:jc w:val="both"/>
        <w:rPr>
          <w:lang w:val="it-IT"/>
        </w:rPr>
      </w:pPr>
      <w:r w:rsidRPr="008A1DDD">
        <w:rPr>
          <w:lang w:val="it-IT"/>
        </w:rPr>
        <w:t xml:space="preserve">Per riassumere possiamo dire che, se alle spese per gli abbonamenti a riviste + i contratti trasformativi (che gravano su fondi centralizzati), si sommano le spese sostenute dagli autori per le APC su riviste </w:t>
      </w:r>
      <w:proofErr w:type="spellStart"/>
      <w:r w:rsidRPr="008A1DDD">
        <w:rPr>
          <w:lang w:val="it-IT"/>
        </w:rPr>
        <w:t>Hybrid</w:t>
      </w:r>
      <w:proofErr w:type="spellEnd"/>
      <w:r w:rsidRPr="008A1DDD">
        <w:rPr>
          <w:lang w:val="it-IT"/>
        </w:rPr>
        <w:t xml:space="preserve"> o Gold il CNR ha sostenuto, nel 2020, una spesa totale di circa 6 milioni di euro dei quali il 54% grava su fondi centralizzati, mentre il 46% è in carico agli Istituti.</w:t>
      </w:r>
    </w:p>
    <w:p w14:paraId="16E15B84" w14:textId="77777777" w:rsidR="001D6B2F" w:rsidRPr="008A1DDD" w:rsidRDefault="001D6B2F" w:rsidP="00D119E1">
      <w:pPr>
        <w:jc w:val="both"/>
        <w:rPr>
          <w:lang w:val="it-IT"/>
        </w:rPr>
      </w:pPr>
    </w:p>
    <w:p w14:paraId="34C6E3D6" w14:textId="256DD6B8" w:rsidR="007950A8" w:rsidRPr="001D6B2F" w:rsidRDefault="009376AB" w:rsidP="001D6B2F">
      <w:pPr>
        <w:spacing w:after="240" w:line="240" w:lineRule="auto"/>
        <w:jc w:val="both"/>
        <w:rPr>
          <w:b/>
          <w:bCs/>
          <w:sz w:val="24"/>
          <w:szCs w:val="24"/>
          <w:lang w:val="it-IT"/>
        </w:rPr>
      </w:pPr>
      <w:bookmarkStart w:id="7" w:name="_w2fy0nsj8wy0" w:colFirst="0" w:colLast="0"/>
      <w:bookmarkEnd w:id="7"/>
      <w:r>
        <w:rPr>
          <w:b/>
          <w:bCs/>
          <w:sz w:val="24"/>
          <w:szCs w:val="24"/>
          <w:lang w:val="it-IT"/>
        </w:rPr>
        <w:t xml:space="preserve">4.1 </w:t>
      </w:r>
      <w:r w:rsidR="008A1DDD" w:rsidRPr="001D6B2F">
        <w:rPr>
          <w:b/>
          <w:bCs/>
          <w:sz w:val="24"/>
          <w:szCs w:val="24"/>
          <w:lang w:val="it-IT"/>
        </w:rPr>
        <w:t>Analisi utilizzo APC contratti trasformativi su fondi centralizzati</w:t>
      </w:r>
    </w:p>
    <w:p w14:paraId="4D1F54B8" w14:textId="0A73ABCF" w:rsidR="007950A8" w:rsidRPr="008A1DDD" w:rsidRDefault="008A1DDD" w:rsidP="001D6B2F">
      <w:pPr>
        <w:jc w:val="both"/>
        <w:rPr>
          <w:lang w:val="it-IT"/>
        </w:rPr>
      </w:pPr>
      <w:r w:rsidRPr="008A1DDD">
        <w:rPr>
          <w:lang w:val="it-IT"/>
        </w:rPr>
        <w:t xml:space="preserve">Al CNR, per gestire </w:t>
      </w:r>
      <w:r w:rsidR="00AF285C">
        <w:rPr>
          <w:lang w:val="it-IT"/>
        </w:rPr>
        <w:t>il flusso operativo del</w:t>
      </w:r>
      <w:r w:rsidRPr="008A1DDD">
        <w:rPr>
          <w:lang w:val="it-IT"/>
        </w:rPr>
        <w:t xml:space="preserve">le APC è stato costituito il gruppo di lavoro </w:t>
      </w:r>
      <w:r w:rsidRPr="008A1DDD">
        <w:rPr>
          <w:b/>
          <w:i/>
          <w:u w:val="single"/>
          <w:lang w:val="it-IT"/>
        </w:rPr>
        <w:t>Staff OA CNR</w:t>
      </w:r>
      <w:r w:rsidRPr="008A1DDD">
        <w:rPr>
          <w:lang w:val="it-IT"/>
        </w:rPr>
        <w:t xml:space="preserve">, l’organismo che </w:t>
      </w:r>
      <w:r w:rsidR="00AF285C">
        <w:rPr>
          <w:lang w:val="it-IT"/>
        </w:rPr>
        <w:t>verifica le richieste di fruizione delle agevolazioni contrattuali, provvedendo alla loro approvazione o negazione e</w:t>
      </w:r>
      <w:r w:rsidRPr="008A1DDD">
        <w:rPr>
          <w:lang w:val="it-IT"/>
        </w:rPr>
        <w:t xml:space="preserve"> risponde alla lista openaccess@cnr.it</w:t>
      </w:r>
      <w:r w:rsidR="001D6B2F">
        <w:rPr>
          <w:lang w:val="it-IT"/>
        </w:rPr>
        <w:t>.</w:t>
      </w:r>
    </w:p>
    <w:p w14:paraId="4601F7BA" w14:textId="77777777" w:rsidR="007950A8" w:rsidRPr="008A1DDD" w:rsidRDefault="008A1DDD" w:rsidP="00AF285C">
      <w:pPr>
        <w:spacing w:before="120"/>
        <w:jc w:val="both"/>
        <w:rPr>
          <w:lang w:val="it-IT"/>
        </w:rPr>
      </w:pPr>
      <w:r w:rsidRPr="008A1DDD">
        <w:rPr>
          <w:lang w:val="it-IT"/>
        </w:rPr>
        <w:t xml:space="preserve">Il flusso operativo prevede che lo Staff contatti il </w:t>
      </w:r>
      <w:proofErr w:type="spellStart"/>
      <w:r w:rsidRPr="008A1DDD">
        <w:rPr>
          <w:lang w:val="it-IT"/>
        </w:rPr>
        <w:t>corresponding</w:t>
      </w:r>
      <w:proofErr w:type="spellEnd"/>
      <w:r w:rsidRPr="008A1DDD">
        <w:rPr>
          <w:lang w:val="it-IT"/>
        </w:rPr>
        <w:t xml:space="preserve"> </w:t>
      </w:r>
      <w:proofErr w:type="spellStart"/>
      <w:r w:rsidRPr="008A1DDD">
        <w:rPr>
          <w:lang w:val="it-IT"/>
        </w:rPr>
        <w:t>author</w:t>
      </w:r>
      <w:proofErr w:type="spellEnd"/>
      <w:r w:rsidRPr="008A1DDD">
        <w:rPr>
          <w:lang w:val="it-IT"/>
        </w:rPr>
        <w:t xml:space="preserve"> per chiedere conferma dell’affiliazione CNR e dell’effettiva necessità di fruire delle agevolazioni, non avendo fondi di progetto o di altra natura a disposizione.</w:t>
      </w:r>
    </w:p>
    <w:p w14:paraId="54896F17" w14:textId="71351D2B" w:rsidR="007950A8" w:rsidRPr="008A1DDD" w:rsidRDefault="008A1DDD" w:rsidP="001D6B2F">
      <w:pPr>
        <w:spacing w:before="120"/>
        <w:jc w:val="both"/>
        <w:rPr>
          <w:lang w:val="it-IT"/>
        </w:rPr>
      </w:pPr>
      <w:r w:rsidRPr="008A1DDD">
        <w:rPr>
          <w:lang w:val="it-IT"/>
        </w:rPr>
        <w:t>Inoltre</w:t>
      </w:r>
      <w:r w:rsidR="001D6B2F">
        <w:rPr>
          <w:lang w:val="it-IT"/>
        </w:rPr>
        <w:t>,</w:t>
      </w:r>
      <w:r w:rsidRPr="008A1DDD">
        <w:rPr>
          <w:lang w:val="it-IT"/>
        </w:rPr>
        <w:t xml:space="preserve"> è stato creato e mantenuto aggiornato il Portale “Pubblicare Open Access al CNR”, accessibile al link</w:t>
      </w:r>
      <w:hyperlink r:id="rId15">
        <w:r w:rsidRPr="008A1DDD">
          <w:rPr>
            <w:lang w:val="it-IT"/>
          </w:rPr>
          <w:t xml:space="preserve"> </w:t>
        </w:r>
      </w:hyperlink>
      <w:hyperlink r:id="rId16">
        <w:r w:rsidRPr="008A1DDD">
          <w:rPr>
            <w:color w:val="1155CC"/>
            <w:u w:val="single"/>
            <w:lang w:val="it-IT"/>
          </w:rPr>
          <w:t>http://openaccess.cnr.it/</w:t>
        </w:r>
      </w:hyperlink>
      <w:r w:rsidRPr="008A1DDD">
        <w:rPr>
          <w:lang w:val="it-IT"/>
        </w:rPr>
        <w:t xml:space="preserve"> dove gli autori possono trovare informazioni sia sui contratti trasformativi, sia sull’Open Access in generale.</w:t>
      </w:r>
    </w:p>
    <w:p w14:paraId="37779B00" w14:textId="77777777" w:rsidR="007950A8" w:rsidRPr="008A1DDD" w:rsidRDefault="008A1DDD" w:rsidP="001D6B2F">
      <w:pPr>
        <w:spacing w:before="120"/>
        <w:jc w:val="both"/>
        <w:rPr>
          <w:lang w:val="it-IT"/>
        </w:rPr>
      </w:pPr>
      <w:r w:rsidRPr="008A1DDD">
        <w:rPr>
          <w:lang w:val="it-IT"/>
        </w:rPr>
        <w:t>A distanza di circa due anni dalla sottoscrizione dei primi contratti trasformativi, attivati su fondi centralizzati, è stato analizzato il reale utilizzo delle APC.</w:t>
      </w:r>
    </w:p>
    <w:p w14:paraId="02821A15" w14:textId="77777777" w:rsidR="007950A8" w:rsidRPr="008A1DDD" w:rsidRDefault="008A1DDD" w:rsidP="001D6B2F">
      <w:pPr>
        <w:spacing w:before="120"/>
        <w:jc w:val="both"/>
        <w:rPr>
          <w:lang w:val="it-IT"/>
        </w:rPr>
      </w:pPr>
      <w:r w:rsidRPr="008A1DDD">
        <w:rPr>
          <w:lang w:val="it-IT"/>
        </w:rPr>
        <w:t>Per i conteggi è stato usato il costo negoziato delle APC, visibile anche nelle dashboard di amministrazione dei diversi editori.</w:t>
      </w:r>
    </w:p>
    <w:p w14:paraId="542F4B41" w14:textId="77777777" w:rsidR="007950A8" w:rsidRPr="008A1DDD" w:rsidRDefault="008A1DDD" w:rsidP="001D6B2F">
      <w:pPr>
        <w:spacing w:before="120"/>
        <w:jc w:val="both"/>
        <w:rPr>
          <w:lang w:val="it-IT"/>
        </w:rPr>
      </w:pPr>
      <w:r w:rsidRPr="008A1DDD">
        <w:rPr>
          <w:lang w:val="it-IT"/>
        </w:rPr>
        <w:t>Dall’analisi emerge che al CNR, dal 2020 al 30 maggio 2022 sono state approvate le APC di 391 articoli, per un costo complessivo di circa 1.200.000 €. Questa è la cifra risparmiata dai singoli istituti dell’ente che hanno potuto contare sulla copertura CNR e non su fondi propri.</w:t>
      </w:r>
    </w:p>
    <w:p w14:paraId="255EF002" w14:textId="2839D9E9" w:rsidR="001D6B2F" w:rsidRDefault="008A1DDD" w:rsidP="001D6B2F">
      <w:pPr>
        <w:jc w:val="both"/>
        <w:rPr>
          <w:lang w:val="it-IT"/>
        </w:rPr>
      </w:pPr>
      <w:r w:rsidRPr="008A1DDD">
        <w:rPr>
          <w:lang w:val="it-IT"/>
        </w:rPr>
        <w:lastRenderedPageBreak/>
        <w:t xml:space="preserve">Il grafico </w:t>
      </w:r>
      <w:r w:rsidR="00AF285C">
        <w:rPr>
          <w:lang w:val="it-IT"/>
        </w:rPr>
        <w:t>7</w:t>
      </w:r>
      <w:r w:rsidRPr="008A1DDD">
        <w:rPr>
          <w:lang w:val="it-IT"/>
        </w:rPr>
        <w:t xml:space="preserve"> evidenzia che il risparmio maggiore per gli istituti è dato dal contratto con l’editore multidisciplinare Wiley (61 articoli nel 2021), seguito da Springer 2022 (che aumenterà ancora durante l’anno)</w:t>
      </w:r>
      <w:r w:rsidR="001D6B2F">
        <w:rPr>
          <w:lang w:val="it-IT"/>
        </w:rPr>
        <w:t>.</w:t>
      </w:r>
    </w:p>
    <w:p w14:paraId="3566DC3A" w14:textId="63EFD8FC" w:rsidR="007950A8" w:rsidRDefault="008A1DDD" w:rsidP="00AF285C">
      <w:pPr>
        <w:spacing w:before="240" w:after="240" w:line="240" w:lineRule="auto"/>
        <w:jc w:val="center"/>
        <w:rPr>
          <w:lang w:val="it-IT"/>
        </w:rPr>
      </w:pPr>
      <w:r>
        <w:rPr>
          <w:noProof/>
        </w:rPr>
        <w:drawing>
          <wp:inline distT="114300" distB="114300" distL="114300" distR="114300" wp14:anchorId="128D116E" wp14:editId="02995DCD">
            <wp:extent cx="5150485" cy="2602175"/>
            <wp:effectExtent l="19050" t="19050" r="12065" b="2730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152408" cy="2603147"/>
                    </a:xfrm>
                    <a:prstGeom prst="rect">
                      <a:avLst/>
                    </a:prstGeom>
                    <a:ln>
                      <a:solidFill>
                        <a:schemeClr val="tx1">
                          <a:lumMod val="65000"/>
                          <a:lumOff val="35000"/>
                        </a:schemeClr>
                      </a:solidFill>
                    </a:ln>
                  </pic:spPr>
                </pic:pic>
              </a:graphicData>
            </a:graphic>
          </wp:inline>
        </w:drawing>
      </w:r>
    </w:p>
    <w:p w14:paraId="60F8A2CF" w14:textId="77777777" w:rsidR="006E2C6A" w:rsidRDefault="00AF285C" w:rsidP="006E2C6A">
      <w:pPr>
        <w:spacing w:before="240" w:after="240" w:line="240" w:lineRule="auto"/>
        <w:jc w:val="center"/>
        <w:rPr>
          <w:i/>
          <w:iCs/>
          <w:sz w:val="18"/>
          <w:szCs w:val="18"/>
          <w:lang w:val="it-IT"/>
        </w:rPr>
      </w:pPr>
      <w:r w:rsidRPr="00AF285C">
        <w:rPr>
          <w:i/>
          <w:iCs/>
          <w:sz w:val="18"/>
          <w:szCs w:val="18"/>
          <w:lang w:val="it-IT"/>
        </w:rPr>
        <w:t>Grafico 7 - Utilizzo APC nei contratti trasformativi CNR</w:t>
      </w:r>
    </w:p>
    <w:p w14:paraId="461B5EDB" w14:textId="03D36C91" w:rsidR="007950A8" w:rsidRPr="006E2C6A" w:rsidRDefault="008A1DDD" w:rsidP="00CF05BD">
      <w:pPr>
        <w:spacing w:before="240" w:after="240" w:line="240" w:lineRule="auto"/>
        <w:jc w:val="both"/>
        <w:rPr>
          <w:i/>
          <w:iCs/>
          <w:sz w:val="18"/>
          <w:szCs w:val="18"/>
          <w:lang w:val="it-IT"/>
        </w:rPr>
      </w:pPr>
      <w:r w:rsidRPr="008A1DDD">
        <w:rPr>
          <w:lang w:val="it-IT"/>
        </w:rPr>
        <w:t>È molto probabile che nel corso del 2022 aumenti la fruizione dei contratti Wiley, Springer e ACS iniziati, rispettivamente, a novembre 2021 e a dicembre 2021.</w:t>
      </w:r>
    </w:p>
    <w:p w14:paraId="26BB27EA" w14:textId="1965672E" w:rsidR="007950A8" w:rsidRDefault="008A1DDD" w:rsidP="00994CCA">
      <w:pPr>
        <w:jc w:val="both"/>
        <w:rPr>
          <w:lang w:val="it-IT"/>
        </w:rPr>
      </w:pPr>
      <w:r w:rsidRPr="008A1DDD">
        <w:rPr>
          <w:lang w:val="it-IT"/>
        </w:rPr>
        <w:t>L’ultimo grafico</w:t>
      </w:r>
      <w:r w:rsidR="00AF285C">
        <w:rPr>
          <w:lang w:val="it-IT"/>
        </w:rPr>
        <w:t xml:space="preserve"> (grafico 8)</w:t>
      </w:r>
      <w:r w:rsidRPr="008A1DDD">
        <w:rPr>
          <w:lang w:val="it-IT"/>
        </w:rPr>
        <w:t xml:space="preserve"> mostra invece i dati di utilizzo delle APC da parte degli istituti, accorpati per Dipartimento.</w:t>
      </w:r>
    </w:p>
    <w:p w14:paraId="34191FC3" w14:textId="77777777" w:rsidR="006E2C6A" w:rsidRDefault="00994CCA" w:rsidP="006E2C6A">
      <w:pPr>
        <w:spacing w:before="240" w:after="240" w:line="240" w:lineRule="auto"/>
        <w:jc w:val="center"/>
        <w:rPr>
          <w:lang w:val="it-IT"/>
        </w:rPr>
      </w:pPr>
      <w:r>
        <w:rPr>
          <w:noProof/>
        </w:rPr>
        <w:drawing>
          <wp:inline distT="0" distB="0" distL="0" distR="0" wp14:anchorId="5DDDE089" wp14:editId="16322A2F">
            <wp:extent cx="4680759" cy="2612694"/>
            <wp:effectExtent l="19050" t="19050" r="24765" b="16510"/>
            <wp:docPr id="44" name="Immagine 3">
              <a:extLst xmlns:a="http://schemas.openxmlformats.org/drawingml/2006/main">
                <a:ext uri="{FF2B5EF4-FFF2-40B4-BE49-F238E27FC236}">
                  <a16:creationId xmlns:a16="http://schemas.microsoft.com/office/drawing/2014/main" id="{C8EA6A40-0CF2-CC61-D028-D0518F6C8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C8EA6A40-0CF2-CC61-D028-D0518F6C8804}"/>
                        </a:ext>
                      </a:extLst>
                    </pic:cNvPr>
                    <pic:cNvPicPr>
                      <a:picLocks noChangeAspect="1"/>
                    </pic:cNvPicPr>
                  </pic:nvPicPr>
                  <pic:blipFill>
                    <a:blip r:embed="rId18"/>
                    <a:stretch>
                      <a:fillRect/>
                    </a:stretch>
                  </pic:blipFill>
                  <pic:spPr>
                    <a:xfrm>
                      <a:off x="0" y="0"/>
                      <a:ext cx="4683658" cy="2614312"/>
                    </a:xfrm>
                    <a:prstGeom prst="rect">
                      <a:avLst/>
                    </a:prstGeom>
                    <a:ln>
                      <a:solidFill>
                        <a:schemeClr val="tx1">
                          <a:lumMod val="65000"/>
                          <a:lumOff val="35000"/>
                        </a:schemeClr>
                      </a:solidFill>
                    </a:ln>
                  </pic:spPr>
                </pic:pic>
              </a:graphicData>
            </a:graphic>
          </wp:inline>
        </w:drawing>
      </w:r>
    </w:p>
    <w:p w14:paraId="0FC2E0A7" w14:textId="3EF41011" w:rsidR="00AF285C" w:rsidRPr="006E2C6A" w:rsidRDefault="00AF285C" w:rsidP="006E2C6A">
      <w:pPr>
        <w:spacing w:line="240" w:lineRule="auto"/>
        <w:jc w:val="center"/>
        <w:rPr>
          <w:lang w:val="it-IT"/>
        </w:rPr>
      </w:pPr>
      <w:r w:rsidRPr="00AF285C">
        <w:rPr>
          <w:i/>
          <w:iCs/>
          <w:sz w:val="18"/>
          <w:szCs w:val="18"/>
          <w:lang w:val="it-IT"/>
        </w:rPr>
        <w:t xml:space="preserve">Grafico </w:t>
      </w:r>
      <w:r>
        <w:rPr>
          <w:i/>
          <w:iCs/>
          <w:sz w:val="18"/>
          <w:szCs w:val="18"/>
          <w:lang w:val="it-IT"/>
        </w:rPr>
        <w:t>8</w:t>
      </w:r>
      <w:r w:rsidRPr="00AF285C">
        <w:rPr>
          <w:i/>
          <w:iCs/>
          <w:sz w:val="18"/>
          <w:szCs w:val="18"/>
          <w:lang w:val="it-IT"/>
        </w:rPr>
        <w:t xml:space="preserve"> - Utilizzo APC nei contratti trasformativi CNR</w:t>
      </w:r>
      <w:r>
        <w:rPr>
          <w:i/>
          <w:iCs/>
          <w:sz w:val="18"/>
          <w:szCs w:val="18"/>
          <w:lang w:val="it-IT"/>
        </w:rPr>
        <w:t xml:space="preserve"> by </w:t>
      </w:r>
      <w:proofErr w:type="spellStart"/>
      <w:r>
        <w:rPr>
          <w:i/>
          <w:iCs/>
          <w:sz w:val="18"/>
          <w:szCs w:val="18"/>
          <w:lang w:val="it-IT"/>
        </w:rPr>
        <w:t>Dept</w:t>
      </w:r>
      <w:proofErr w:type="spellEnd"/>
      <w:r>
        <w:rPr>
          <w:i/>
          <w:iCs/>
          <w:sz w:val="18"/>
          <w:szCs w:val="18"/>
          <w:lang w:val="it-IT"/>
        </w:rPr>
        <w:t>.</w:t>
      </w:r>
    </w:p>
    <w:p w14:paraId="2E103B21" w14:textId="77777777" w:rsidR="006E2C6A" w:rsidRDefault="006E2C6A" w:rsidP="00994CCA">
      <w:pPr>
        <w:jc w:val="both"/>
        <w:rPr>
          <w:lang w:val="it-IT"/>
        </w:rPr>
      </w:pPr>
    </w:p>
    <w:p w14:paraId="74F7050F" w14:textId="3CEBB264" w:rsidR="007950A8" w:rsidRPr="008A1DDD" w:rsidRDefault="008A1DDD" w:rsidP="00994CCA">
      <w:pPr>
        <w:jc w:val="both"/>
        <w:rPr>
          <w:lang w:val="it-IT"/>
        </w:rPr>
      </w:pPr>
      <w:r w:rsidRPr="008A1DDD">
        <w:rPr>
          <w:lang w:val="it-IT"/>
        </w:rPr>
        <w:t xml:space="preserve">La copertura degli istituti è molto alta </w:t>
      </w:r>
      <w:r w:rsidR="00CF05BD">
        <w:rPr>
          <w:lang w:val="it-IT"/>
        </w:rPr>
        <w:t xml:space="preserve">e talvolta </w:t>
      </w:r>
      <w:r w:rsidRPr="008A1DDD">
        <w:rPr>
          <w:lang w:val="it-IT"/>
        </w:rPr>
        <w:t>raggiunge</w:t>
      </w:r>
      <w:r w:rsidR="00CF05BD">
        <w:rPr>
          <w:lang w:val="it-IT"/>
        </w:rPr>
        <w:t xml:space="preserve"> </w:t>
      </w:r>
      <w:r w:rsidRPr="008A1DDD">
        <w:rPr>
          <w:lang w:val="it-IT"/>
        </w:rPr>
        <w:t>il 100%. Anche in questo caso è apprezzabile il numero di articoli pubblicati in accesso aperto e il risparmio ottenuto dagli istituti: per il Dipartimento di Scienze fisiche e tecnologie della materia gli articoli OA sono 131, per un risparmio di circa 420.000€, mentre gli istituti afferenti al Dipartimento di Scienze chimiche e tecnologie dei materiali hanno pubblicato 92 articoli OA e risparmiato circa 267.000€.</w:t>
      </w:r>
    </w:p>
    <w:p w14:paraId="7A8DE672" w14:textId="1A282F22" w:rsidR="007950A8" w:rsidRPr="008A1DDD" w:rsidRDefault="009376AB">
      <w:pPr>
        <w:pStyle w:val="Titolo1"/>
        <w:rPr>
          <w:lang w:val="it-IT"/>
        </w:rPr>
      </w:pPr>
      <w:bookmarkStart w:id="8" w:name="_fmmbbffdlln8" w:colFirst="0" w:colLast="0"/>
      <w:bookmarkEnd w:id="8"/>
      <w:r>
        <w:rPr>
          <w:lang w:val="it-IT"/>
        </w:rPr>
        <w:lastRenderedPageBreak/>
        <w:t>5</w:t>
      </w:r>
      <w:r w:rsidR="008A1DDD" w:rsidRPr="008A1DDD">
        <w:rPr>
          <w:lang w:val="it-IT"/>
        </w:rPr>
        <w:t xml:space="preserve">. Stato dell'arte in </w:t>
      </w:r>
      <w:proofErr w:type="spellStart"/>
      <w:r w:rsidR="008A1DDD" w:rsidRPr="008A1DDD">
        <w:rPr>
          <w:lang w:val="it-IT"/>
        </w:rPr>
        <w:t>ConPER</w:t>
      </w:r>
      <w:proofErr w:type="spellEnd"/>
    </w:p>
    <w:p w14:paraId="7F7C57C4" w14:textId="69D0DF15" w:rsidR="007950A8" w:rsidRPr="008A1DDD" w:rsidRDefault="008A1DDD" w:rsidP="00AF285C">
      <w:pPr>
        <w:jc w:val="both"/>
        <w:rPr>
          <w:i/>
          <w:lang w:val="it-IT"/>
        </w:rPr>
      </w:pPr>
      <w:r w:rsidRPr="008A1DDD">
        <w:rPr>
          <w:lang w:val="it-IT"/>
        </w:rPr>
        <w:t xml:space="preserve">Molti EPR hanno </w:t>
      </w:r>
      <w:proofErr w:type="spellStart"/>
      <w:r w:rsidRPr="008A1DDD">
        <w:rPr>
          <w:lang w:val="it-IT"/>
        </w:rPr>
        <w:t>gia'</w:t>
      </w:r>
      <w:proofErr w:type="spellEnd"/>
      <w:r w:rsidRPr="008A1DDD">
        <w:rPr>
          <w:lang w:val="it-IT"/>
        </w:rPr>
        <w:t xml:space="preserve"> implementato spontaneamente il monitoraggio degli APC (CNR, INRIM, ISS, </w:t>
      </w:r>
      <w:r w:rsidR="00994CCA">
        <w:rPr>
          <w:lang w:val="it-IT"/>
        </w:rPr>
        <w:t>-</w:t>
      </w:r>
      <w:r w:rsidR="00994CCA" w:rsidRPr="00994CCA">
        <w:rPr>
          <w:b/>
          <w:bCs/>
          <w:color w:val="FF0000"/>
          <w:lang w:val="it-IT"/>
        </w:rPr>
        <w:t xml:space="preserve"> COMPLETARE</w:t>
      </w:r>
      <w:r w:rsidRPr="008A1DDD">
        <w:rPr>
          <w:lang w:val="it-IT"/>
        </w:rPr>
        <w:t xml:space="preserve">), incontrando </w:t>
      </w:r>
      <w:proofErr w:type="spellStart"/>
      <w:r w:rsidRPr="008A1DDD">
        <w:rPr>
          <w:lang w:val="it-IT"/>
        </w:rPr>
        <w:t>criticita'</w:t>
      </w:r>
      <w:proofErr w:type="spellEnd"/>
      <w:r w:rsidRPr="008A1DDD">
        <w:rPr>
          <w:lang w:val="it-IT"/>
        </w:rPr>
        <w:t xml:space="preserve"> che gioveranno di un approccio sinergico che utilizzi linee guida concordate. Altri EPR come l’INGV, l’INAF, l’OGS e l’INFN devono iniziare il controllo delle spese degli APC e le linee guida concordate faciliteranno le operazioni future. La difficoltà principale </w:t>
      </w:r>
      <w:r w:rsidR="00994CCA">
        <w:rPr>
          <w:lang w:val="it-IT"/>
        </w:rPr>
        <w:t>è</w:t>
      </w:r>
      <w:r w:rsidRPr="008A1DDD">
        <w:rPr>
          <w:lang w:val="it-IT"/>
        </w:rPr>
        <w:t xml:space="preserve"> quella di identificare la spesa degli APC in ordini di acquisto imputati su capitoli di spesa spesso disomogenei. Inoltre</w:t>
      </w:r>
      <w:r w:rsidR="0042762D">
        <w:rPr>
          <w:lang w:val="it-IT"/>
        </w:rPr>
        <w:t xml:space="preserve">, </w:t>
      </w:r>
      <w:proofErr w:type="spellStart"/>
      <w:proofErr w:type="gramStart"/>
      <w:r w:rsidRPr="008A1DDD">
        <w:rPr>
          <w:lang w:val="it-IT"/>
        </w:rPr>
        <w:t>e'</w:t>
      </w:r>
      <w:proofErr w:type="spellEnd"/>
      <w:proofErr w:type="gramEnd"/>
      <w:r w:rsidRPr="008A1DDD">
        <w:rPr>
          <w:lang w:val="it-IT"/>
        </w:rPr>
        <w:t xml:space="preserve"> necessario specificare nell' ordine di acquisto vari elementi identificativi peculiari della spesa </w:t>
      </w:r>
      <w:r w:rsidR="00994CCA">
        <w:rPr>
          <w:lang w:val="it-IT"/>
        </w:rPr>
        <w:t>in modo da poterla descrivere correttamente e compiutamente.</w:t>
      </w:r>
    </w:p>
    <w:p w14:paraId="603FFE3A" w14:textId="77777777" w:rsidR="007950A8" w:rsidRPr="008A1DDD" w:rsidRDefault="008A1DDD" w:rsidP="00AF285C">
      <w:pPr>
        <w:spacing w:before="120"/>
        <w:jc w:val="both"/>
        <w:rPr>
          <w:lang w:val="it-IT"/>
        </w:rPr>
      </w:pPr>
      <w:r w:rsidRPr="008A1DDD">
        <w:rPr>
          <w:lang w:val="it-IT"/>
        </w:rPr>
        <w:t>Sono in corso contatti con CODIGER per attivare ottimizzazione e standardizzazione degli ordini su un unico capitolo di spesa omogeneo a tutti gli EPR con metadati specifici.</w:t>
      </w:r>
    </w:p>
    <w:p w14:paraId="1208D303" w14:textId="66CE8E70" w:rsidR="007950A8" w:rsidRPr="008A1DDD" w:rsidRDefault="008A1DDD" w:rsidP="00AF285C">
      <w:pPr>
        <w:spacing w:before="120"/>
        <w:jc w:val="both"/>
        <w:rPr>
          <w:i/>
          <w:lang w:val="it-IT"/>
        </w:rPr>
      </w:pPr>
      <w:r w:rsidRPr="008A1DDD">
        <w:rPr>
          <w:lang w:val="it-IT"/>
        </w:rPr>
        <w:t>La situazione nelle Universit</w:t>
      </w:r>
      <w:r w:rsidR="00AF285C">
        <w:rPr>
          <w:lang w:val="it-IT"/>
        </w:rPr>
        <w:t>à</w:t>
      </w:r>
      <w:r w:rsidRPr="008A1DDD">
        <w:rPr>
          <w:lang w:val="it-IT"/>
        </w:rPr>
        <w:t xml:space="preserve"> non </w:t>
      </w:r>
      <w:r w:rsidR="00994CCA">
        <w:rPr>
          <w:lang w:val="it-IT"/>
        </w:rPr>
        <w:t>è</w:t>
      </w:r>
      <w:r w:rsidRPr="008A1DDD">
        <w:rPr>
          <w:lang w:val="it-IT"/>
        </w:rPr>
        <w:t xml:space="preserve"> dissimile. Gli Atenei che hanno implementato il monitoraggio sono in contatto con CODAU </w:t>
      </w:r>
      <w:proofErr w:type="spellStart"/>
      <w:r w:rsidRPr="008A1DDD">
        <w:rPr>
          <w:lang w:val="it-IT"/>
        </w:rPr>
        <w:t>etc</w:t>
      </w:r>
      <w:proofErr w:type="spellEnd"/>
      <w:r w:rsidR="00994CCA">
        <w:rPr>
          <w:lang w:val="it-IT"/>
        </w:rPr>
        <w:t xml:space="preserve"> </w:t>
      </w:r>
      <w:proofErr w:type="spellStart"/>
      <w:proofErr w:type="gramStart"/>
      <w:r w:rsidRPr="008A1DDD">
        <w:rPr>
          <w:lang w:val="it-IT"/>
        </w:rPr>
        <w:t>etc</w:t>
      </w:r>
      <w:proofErr w:type="spellEnd"/>
      <w:r w:rsidRPr="008A1DDD">
        <w:rPr>
          <w:lang w:val="it-IT"/>
        </w:rPr>
        <w:t xml:space="preserve">  </w:t>
      </w:r>
      <w:r w:rsidR="00994CCA" w:rsidRPr="00994CCA">
        <w:rPr>
          <w:b/>
          <w:bCs/>
          <w:iCs/>
          <w:color w:val="FF0000"/>
          <w:lang w:val="it-IT"/>
        </w:rPr>
        <w:t>COMPLETARE</w:t>
      </w:r>
      <w:proofErr w:type="gramEnd"/>
    </w:p>
    <w:p w14:paraId="7793C8B1" w14:textId="5AC8CAE5" w:rsidR="007950A8" w:rsidRPr="008A1DDD" w:rsidRDefault="009376AB">
      <w:pPr>
        <w:pStyle w:val="Titolo1"/>
        <w:rPr>
          <w:lang w:val="it-IT"/>
        </w:rPr>
      </w:pPr>
      <w:bookmarkStart w:id="9" w:name="_let1hi7qyifb" w:colFirst="0" w:colLast="0"/>
      <w:bookmarkEnd w:id="9"/>
      <w:r>
        <w:rPr>
          <w:lang w:val="it-IT"/>
        </w:rPr>
        <w:t>6</w:t>
      </w:r>
      <w:r w:rsidR="008A1DDD" w:rsidRPr="008A1DDD">
        <w:rPr>
          <w:lang w:val="it-IT"/>
        </w:rPr>
        <w:t xml:space="preserve">. Il progetto </w:t>
      </w:r>
      <w:proofErr w:type="spellStart"/>
      <w:r w:rsidR="00CF05BD">
        <w:rPr>
          <w:lang w:val="it-IT"/>
        </w:rPr>
        <w:t>O</w:t>
      </w:r>
      <w:r w:rsidR="008A1DDD" w:rsidRPr="008A1DDD">
        <w:rPr>
          <w:lang w:val="it-IT"/>
        </w:rPr>
        <w:t>penAPC</w:t>
      </w:r>
      <w:proofErr w:type="spellEnd"/>
      <w:r w:rsidR="008A1DDD" w:rsidRPr="008A1DDD">
        <w:rPr>
          <w:lang w:val="it-IT"/>
        </w:rPr>
        <w:t xml:space="preserve"> </w:t>
      </w:r>
    </w:p>
    <w:p w14:paraId="7B872DC0" w14:textId="5B14E345" w:rsidR="007950A8" w:rsidRPr="008A1DDD" w:rsidRDefault="008A1DDD" w:rsidP="0042762D">
      <w:pPr>
        <w:jc w:val="both"/>
        <w:rPr>
          <w:lang w:val="it-IT"/>
        </w:rPr>
      </w:pPr>
      <w:r w:rsidRPr="008A1DDD">
        <w:rPr>
          <w:lang w:val="it-IT"/>
        </w:rPr>
        <w:t>Il Piano nazionale per la scienza aperta</w:t>
      </w:r>
      <w:r w:rsidR="0001681C">
        <w:rPr>
          <w:lang w:val="it-IT"/>
        </w:rPr>
        <w:t xml:space="preserve"> </w:t>
      </w:r>
      <w:r w:rsidRPr="008A1DDD">
        <w:rPr>
          <w:lang w:val="it-IT"/>
        </w:rPr>
        <w:t>intende definire gli obiettivi, i percorsi e gli strumenti per una piena attuazione della scienza aperta in Italia, tali da favorire la partecipazione italiana a processi e iniziative di livello europeo e internazionale.</w:t>
      </w:r>
    </w:p>
    <w:p w14:paraId="0BF31DE8" w14:textId="77777777" w:rsidR="007950A8" w:rsidRPr="008A1DDD" w:rsidRDefault="008A1DDD" w:rsidP="0042762D">
      <w:pPr>
        <w:rPr>
          <w:lang w:val="it-IT"/>
        </w:rPr>
      </w:pPr>
      <w:r w:rsidRPr="008A1DDD">
        <w:rPr>
          <w:lang w:val="it-IT"/>
        </w:rPr>
        <w:t>Per quanto attiene le pubblicazioni scientifiche, il Piano delinea i seguenti obiettivi:</w:t>
      </w:r>
    </w:p>
    <w:p w14:paraId="08CF0A34" w14:textId="77777777" w:rsidR="007950A8" w:rsidRPr="008A1DDD" w:rsidRDefault="007950A8">
      <w:pPr>
        <w:spacing w:line="240" w:lineRule="auto"/>
        <w:rPr>
          <w:rFonts w:ascii="Calibri" w:eastAsia="Calibri" w:hAnsi="Calibri" w:cs="Calibri"/>
          <w:sz w:val="24"/>
          <w:szCs w:val="24"/>
          <w:lang w:val="it-IT"/>
        </w:rPr>
      </w:pPr>
    </w:p>
    <w:p w14:paraId="09C713DB" w14:textId="77777777" w:rsidR="007950A8" w:rsidRDefault="008A1DDD">
      <w:pPr>
        <w:spacing w:line="240" w:lineRule="auto"/>
        <w:jc w:val="center"/>
        <w:rPr>
          <w:rFonts w:ascii="Calibri" w:eastAsia="Calibri" w:hAnsi="Calibri" w:cs="Calibri"/>
        </w:rPr>
      </w:pPr>
      <w:r>
        <w:rPr>
          <w:rFonts w:ascii="Calibri" w:eastAsia="Calibri" w:hAnsi="Calibri" w:cs="Calibri"/>
          <w:noProof/>
        </w:rPr>
        <w:drawing>
          <wp:inline distT="0" distB="0" distL="0" distR="0" wp14:anchorId="5BFD7DB7" wp14:editId="26CCAAC0">
            <wp:extent cx="4894425" cy="2138932"/>
            <wp:effectExtent l="0" t="0" r="0" b="0"/>
            <wp:docPr id="8" name="image7.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10;&#10;Descrizione generata automaticamente"/>
                    <pic:cNvPicPr preferRelativeResize="0"/>
                  </pic:nvPicPr>
                  <pic:blipFill>
                    <a:blip r:embed="rId19"/>
                    <a:srcRect/>
                    <a:stretch>
                      <a:fillRect/>
                    </a:stretch>
                  </pic:blipFill>
                  <pic:spPr>
                    <a:xfrm>
                      <a:off x="0" y="0"/>
                      <a:ext cx="4894425" cy="2138932"/>
                    </a:xfrm>
                    <a:prstGeom prst="rect">
                      <a:avLst/>
                    </a:prstGeom>
                    <a:ln/>
                  </pic:spPr>
                </pic:pic>
              </a:graphicData>
            </a:graphic>
          </wp:inline>
        </w:drawing>
      </w:r>
    </w:p>
    <w:p w14:paraId="35517D6B" w14:textId="77777777" w:rsidR="007950A8" w:rsidRDefault="007950A8">
      <w:pPr>
        <w:spacing w:line="240" w:lineRule="auto"/>
        <w:jc w:val="both"/>
        <w:rPr>
          <w:rFonts w:ascii="Calibri" w:eastAsia="Calibri" w:hAnsi="Calibri" w:cs="Calibri"/>
          <w:sz w:val="24"/>
          <w:szCs w:val="24"/>
        </w:rPr>
      </w:pPr>
    </w:p>
    <w:p w14:paraId="124548F1" w14:textId="77777777" w:rsidR="007950A8" w:rsidRPr="008A1DDD" w:rsidRDefault="008A1DDD" w:rsidP="0042762D">
      <w:pPr>
        <w:jc w:val="both"/>
        <w:rPr>
          <w:rFonts w:ascii="Calibri" w:eastAsia="Calibri" w:hAnsi="Calibri" w:cs="Calibri"/>
          <w:sz w:val="14"/>
          <w:szCs w:val="14"/>
          <w:lang w:val="it-IT"/>
        </w:rPr>
      </w:pPr>
      <w:r w:rsidRPr="008A1DDD">
        <w:rPr>
          <w:lang w:val="it-IT"/>
        </w:rPr>
        <w:t xml:space="preserve">Tra gli altri punti viene ritenuto necessario implementare dei sistemi in grado di rilevare le pratiche reali di pubblicazione in accesso aperto, all’interno delle comunità scientifiche e di monitorare i costi delle pubblicazioni in accesso aperto, con particolare riferimento alle </w:t>
      </w:r>
      <w:proofErr w:type="spellStart"/>
      <w:r w:rsidRPr="008A1DDD">
        <w:rPr>
          <w:lang w:val="it-IT"/>
        </w:rPr>
        <w:t>Article</w:t>
      </w:r>
      <w:proofErr w:type="spellEnd"/>
      <w:r w:rsidRPr="008A1DDD">
        <w:rPr>
          <w:lang w:val="it-IT"/>
        </w:rPr>
        <w:t xml:space="preserve"> Processing </w:t>
      </w:r>
      <w:proofErr w:type="spellStart"/>
      <w:r w:rsidRPr="008A1DDD">
        <w:rPr>
          <w:lang w:val="it-IT"/>
        </w:rPr>
        <w:t>Charges</w:t>
      </w:r>
      <w:proofErr w:type="spellEnd"/>
      <w:r w:rsidRPr="008A1DDD">
        <w:rPr>
          <w:lang w:val="it-IT"/>
        </w:rPr>
        <w:t xml:space="preserve"> (APC), integrando i dati con quelli del Progetto </w:t>
      </w:r>
      <w:proofErr w:type="spellStart"/>
      <w:r w:rsidRPr="008A1DDD">
        <w:rPr>
          <w:lang w:val="it-IT"/>
        </w:rPr>
        <w:t>OpenAPC</w:t>
      </w:r>
      <w:proofErr w:type="spellEnd"/>
      <w:r>
        <w:rPr>
          <w:vertAlign w:val="superscript"/>
        </w:rPr>
        <w:footnoteReference w:id="3"/>
      </w:r>
      <w:r w:rsidRPr="008A1DDD">
        <w:rPr>
          <w:lang w:val="it-IT"/>
        </w:rPr>
        <w:t>.</w:t>
      </w:r>
    </w:p>
    <w:p w14:paraId="070BFB94" w14:textId="77777777" w:rsidR="007950A8" w:rsidRPr="008A1DDD" w:rsidRDefault="007950A8">
      <w:pPr>
        <w:spacing w:line="240" w:lineRule="auto"/>
        <w:jc w:val="both"/>
        <w:rPr>
          <w:rFonts w:ascii="Calibri" w:eastAsia="Calibri" w:hAnsi="Calibri" w:cs="Calibri"/>
          <w:sz w:val="14"/>
          <w:szCs w:val="14"/>
          <w:lang w:val="it-IT"/>
        </w:rPr>
      </w:pPr>
    </w:p>
    <w:p w14:paraId="71BF0ED1" w14:textId="38ED7FF7" w:rsidR="007950A8" w:rsidRPr="008A1DDD" w:rsidRDefault="009376AB">
      <w:pPr>
        <w:spacing w:line="240" w:lineRule="auto"/>
        <w:jc w:val="both"/>
        <w:rPr>
          <w:rFonts w:ascii="Calibri" w:eastAsia="Calibri" w:hAnsi="Calibri" w:cs="Calibri"/>
          <w:sz w:val="36"/>
          <w:szCs w:val="36"/>
          <w:lang w:val="it-IT"/>
        </w:rPr>
      </w:pPr>
      <w:r>
        <w:rPr>
          <w:rFonts w:ascii="Calibri" w:eastAsia="Calibri" w:hAnsi="Calibri" w:cs="Calibri"/>
          <w:sz w:val="36"/>
          <w:szCs w:val="36"/>
          <w:lang w:val="it-IT"/>
        </w:rPr>
        <w:t>6</w:t>
      </w:r>
      <w:r w:rsidR="001579BA">
        <w:rPr>
          <w:rFonts w:ascii="Calibri" w:eastAsia="Calibri" w:hAnsi="Calibri" w:cs="Calibri"/>
          <w:sz w:val="36"/>
          <w:szCs w:val="36"/>
          <w:lang w:val="it-IT"/>
        </w:rPr>
        <w:t xml:space="preserve">.1 </w:t>
      </w:r>
      <w:r w:rsidR="008A1DDD" w:rsidRPr="008A1DDD">
        <w:rPr>
          <w:rFonts w:ascii="Calibri" w:eastAsia="Calibri" w:hAnsi="Calibri" w:cs="Calibri"/>
          <w:sz w:val="36"/>
          <w:szCs w:val="36"/>
          <w:lang w:val="it-IT"/>
        </w:rPr>
        <w:t xml:space="preserve">Che cosa è </w:t>
      </w:r>
      <w:proofErr w:type="spellStart"/>
      <w:r w:rsidR="008A1DDD" w:rsidRPr="008A1DDD">
        <w:rPr>
          <w:rFonts w:ascii="Calibri" w:eastAsia="Calibri" w:hAnsi="Calibri" w:cs="Calibri"/>
          <w:sz w:val="36"/>
          <w:szCs w:val="36"/>
          <w:lang w:val="it-IT"/>
        </w:rPr>
        <w:t>OpenAPC</w:t>
      </w:r>
      <w:proofErr w:type="spellEnd"/>
    </w:p>
    <w:p w14:paraId="49A84EA7" w14:textId="77777777" w:rsidR="007950A8" w:rsidRPr="008A1DDD" w:rsidRDefault="008A1DDD" w:rsidP="00AF285C">
      <w:pPr>
        <w:spacing w:before="120"/>
        <w:jc w:val="both"/>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è stato avviato nel corso del 2014 dalla Bielefeld University Library, con la partecipazione delle università tedesche aderenti al programma Open Access Publishing.</w:t>
      </w:r>
    </w:p>
    <w:p w14:paraId="58DE37B4" w14:textId="77777777" w:rsidR="007950A8" w:rsidRPr="008A1DDD" w:rsidRDefault="008A1DDD" w:rsidP="0042762D">
      <w:pPr>
        <w:jc w:val="both"/>
        <w:rPr>
          <w:lang w:val="it-IT"/>
        </w:rPr>
      </w:pPr>
      <w:r w:rsidRPr="008A1DDD">
        <w:rPr>
          <w:lang w:val="it-IT"/>
        </w:rPr>
        <w:t xml:space="preserve">Nel 2015 è stato fondato ufficialmente dalla Deutsche </w:t>
      </w:r>
      <w:proofErr w:type="spellStart"/>
      <w:r w:rsidRPr="008A1DDD">
        <w:rPr>
          <w:lang w:val="it-IT"/>
        </w:rPr>
        <w:t>Forschungsgemeinschaft</w:t>
      </w:r>
      <w:proofErr w:type="spellEnd"/>
      <w:r w:rsidRPr="008A1DDD">
        <w:rPr>
          <w:lang w:val="it-IT"/>
        </w:rPr>
        <w:t xml:space="preserve"> (DFG, Fondazione tedesca per la ricerca), l'organizzazione centrale e indipendente per il finanziamento della ricerca in </w:t>
      </w:r>
      <w:r w:rsidRPr="008A1DDD">
        <w:rPr>
          <w:lang w:val="it-IT"/>
        </w:rPr>
        <w:lastRenderedPageBreak/>
        <w:t xml:space="preserve">Germania, con la partecipazione del Federal </w:t>
      </w:r>
      <w:proofErr w:type="spellStart"/>
      <w:r w:rsidRPr="008A1DDD">
        <w:rPr>
          <w:lang w:val="it-IT"/>
        </w:rPr>
        <w:t>Ministry</w:t>
      </w:r>
      <w:proofErr w:type="spellEnd"/>
      <w:r w:rsidRPr="008A1DDD">
        <w:rPr>
          <w:lang w:val="it-IT"/>
        </w:rPr>
        <w:t xml:space="preserve"> of </w:t>
      </w:r>
      <w:proofErr w:type="spellStart"/>
      <w:r w:rsidRPr="008A1DDD">
        <w:rPr>
          <w:lang w:val="it-IT"/>
        </w:rPr>
        <w:t>Education</w:t>
      </w:r>
      <w:proofErr w:type="spellEnd"/>
      <w:r w:rsidRPr="008A1DDD">
        <w:rPr>
          <w:lang w:val="it-IT"/>
        </w:rPr>
        <w:t xml:space="preserve"> and </w:t>
      </w:r>
      <w:proofErr w:type="spellStart"/>
      <w:r w:rsidRPr="008A1DDD">
        <w:rPr>
          <w:lang w:val="it-IT"/>
        </w:rPr>
        <w:t>Research</w:t>
      </w:r>
      <w:proofErr w:type="spellEnd"/>
      <w:r w:rsidRPr="008A1DDD">
        <w:rPr>
          <w:lang w:val="it-IT"/>
        </w:rPr>
        <w:t xml:space="preserve">. A tutt’oggi il progetto è gestito dalla Bielefeld University Library e fa parte dell'iniziativa INTACT, finanziata dal DFG, unitamente ai due </w:t>
      </w:r>
      <w:proofErr w:type="spellStart"/>
      <w:r w:rsidRPr="008A1DDD">
        <w:rPr>
          <w:lang w:val="it-IT"/>
        </w:rPr>
        <w:t>sottoprogetti</w:t>
      </w:r>
      <w:proofErr w:type="spellEnd"/>
      <w:r w:rsidRPr="008A1DDD">
        <w:rPr>
          <w:lang w:val="it-IT"/>
        </w:rPr>
        <w:t xml:space="preserve"> ESAC e OA Analytics.</w:t>
      </w:r>
    </w:p>
    <w:p w14:paraId="600BE8D4" w14:textId="77777777" w:rsidR="007950A8" w:rsidRPr="008A1DDD" w:rsidRDefault="008A1DDD" w:rsidP="0042762D">
      <w:pPr>
        <w:jc w:val="both"/>
        <w:rPr>
          <w:lang w:val="it-IT"/>
        </w:rPr>
      </w:pPr>
      <w:r w:rsidRPr="008A1DDD">
        <w:rPr>
          <w:lang w:val="it-IT"/>
        </w:rPr>
        <w:t xml:space="preserve">Lo scopo dell’iniziativa è quello di monitorare il mercato delle APC –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raccogliendo e condividendo i dati sulle spese sostenute dalle istituzioni per la pubblicazione in accesso aperto, nell'ambito di accordi trasformativi e no.</w:t>
      </w:r>
    </w:p>
    <w:p w14:paraId="43EFF132" w14:textId="77777777" w:rsidR="007950A8" w:rsidRPr="008A1DDD" w:rsidRDefault="008A1DDD" w:rsidP="0042762D">
      <w:pPr>
        <w:jc w:val="both"/>
        <w:rPr>
          <w:lang w:val="it-IT"/>
        </w:rPr>
      </w:pPr>
      <w:r w:rsidRPr="008A1DDD">
        <w:rPr>
          <w:lang w:val="it-IT"/>
        </w:rPr>
        <w:t xml:space="preserve">In Italia, al momento, le istituzioni partecipanti sono tre: Free University of Bozen-Bolzano, Università degli Studi di Milano e Veneto Institute of </w:t>
      </w:r>
      <w:proofErr w:type="spellStart"/>
      <w:r w:rsidRPr="008A1DDD">
        <w:rPr>
          <w:lang w:val="it-IT"/>
        </w:rPr>
        <w:t>Oncology</w:t>
      </w:r>
      <w:proofErr w:type="spellEnd"/>
      <w:r w:rsidRPr="008A1DDD">
        <w:rPr>
          <w:lang w:val="it-IT"/>
        </w:rPr>
        <w:t xml:space="preserve"> (IOV IRCCS).</w:t>
      </w:r>
    </w:p>
    <w:p w14:paraId="6704DF62" w14:textId="29C5FB31" w:rsidR="007950A8" w:rsidRPr="008A1DDD" w:rsidRDefault="009376AB">
      <w:pPr>
        <w:pStyle w:val="Titolo2"/>
        <w:rPr>
          <w:lang w:val="it-IT"/>
        </w:rPr>
      </w:pPr>
      <w:bookmarkStart w:id="10" w:name="_5fx668479ht6" w:colFirst="0" w:colLast="0"/>
      <w:bookmarkEnd w:id="10"/>
      <w:r>
        <w:rPr>
          <w:lang w:val="it-IT"/>
        </w:rPr>
        <w:t>6</w:t>
      </w:r>
      <w:r w:rsidR="001579BA">
        <w:rPr>
          <w:lang w:val="it-IT"/>
        </w:rPr>
        <w:t xml:space="preserve">.2 </w:t>
      </w:r>
      <w:r w:rsidR="008A1DDD" w:rsidRPr="008A1DDD">
        <w:rPr>
          <w:lang w:val="it-IT"/>
        </w:rPr>
        <w:t xml:space="preserve">Perché </w:t>
      </w:r>
      <w:proofErr w:type="spellStart"/>
      <w:r w:rsidR="008A1DDD" w:rsidRPr="008A1DDD">
        <w:rPr>
          <w:lang w:val="it-IT"/>
        </w:rPr>
        <w:t>OpenAPC</w:t>
      </w:r>
      <w:proofErr w:type="spellEnd"/>
      <w:r w:rsidR="008A1DDD" w:rsidRPr="008A1DDD">
        <w:rPr>
          <w:lang w:val="it-IT"/>
        </w:rPr>
        <w:t>?</w:t>
      </w:r>
    </w:p>
    <w:p w14:paraId="00A5FD6B" w14:textId="6E968046" w:rsidR="007950A8" w:rsidRDefault="008A1DDD" w:rsidP="00AF285C">
      <w:pPr>
        <w:pBdr>
          <w:top w:val="nil"/>
          <w:left w:val="nil"/>
          <w:bottom w:val="nil"/>
          <w:right w:val="nil"/>
          <w:between w:val="nil"/>
        </w:pBdr>
        <w:jc w:val="both"/>
        <w:rPr>
          <w:lang w:val="it-IT"/>
        </w:rPr>
      </w:pPr>
      <w:r w:rsidRPr="008A1DDD">
        <w:rPr>
          <w:lang w:val="it-IT"/>
        </w:rPr>
        <w:t>Affinché l’Open Access sia sostenibile come standard per l'editoria accademica è necessario concentrarsi proprio sui costi associati e introdurre dei correttivi che possano riequilibrare i prezzi, in modo da favorire il superamento di questa problematica.</w:t>
      </w:r>
    </w:p>
    <w:p w14:paraId="5414BA88" w14:textId="77777777" w:rsidR="00AF285C" w:rsidRPr="008A1DDD" w:rsidRDefault="00AF285C" w:rsidP="00AF285C">
      <w:pPr>
        <w:pBdr>
          <w:top w:val="nil"/>
          <w:left w:val="nil"/>
          <w:bottom w:val="nil"/>
          <w:right w:val="nil"/>
          <w:between w:val="nil"/>
        </w:pBdr>
        <w:jc w:val="both"/>
        <w:rPr>
          <w:lang w:val="it-IT"/>
        </w:rPr>
      </w:pPr>
    </w:p>
    <w:p w14:paraId="7AF792D6" w14:textId="3A44E17A" w:rsidR="007950A8" w:rsidRDefault="008A1DDD" w:rsidP="00AF285C">
      <w:pPr>
        <w:pBdr>
          <w:top w:val="nil"/>
          <w:left w:val="nil"/>
          <w:bottom w:val="nil"/>
          <w:right w:val="nil"/>
          <w:between w:val="nil"/>
        </w:pBdr>
        <w:jc w:val="both"/>
        <w:rPr>
          <w:lang w:val="it-IT"/>
        </w:rPr>
      </w:pPr>
      <w:r w:rsidRPr="008A1DDD">
        <w:rPr>
          <w:lang w:val="it-IT"/>
        </w:rPr>
        <w:t xml:space="preserve">L’adesione a un’iniziativa ormai consolidata come </w:t>
      </w:r>
      <w:proofErr w:type="spellStart"/>
      <w:r w:rsidRPr="008A1DDD">
        <w:rPr>
          <w:lang w:val="it-IT"/>
        </w:rPr>
        <w:t>OpenAPC</w:t>
      </w:r>
      <w:proofErr w:type="spellEnd"/>
      <w:r w:rsidRPr="008A1DDD">
        <w:rPr>
          <w:lang w:val="it-IT"/>
        </w:rPr>
        <w:t xml:space="preserve"> consente di:</w:t>
      </w:r>
    </w:p>
    <w:p w14:paraId="7F8AD8A3" w14:textId="77777777" w:rsidR="00AF285C" w:rsidRPr="008A1DDD" w:rsidRDefault="00AF285C" w:rsidP="00AF285C">
      <w:pPr>
        <w:pBdr>
          <w:top w:val="nil"/>
          <w:left w:val="nil"/>
          <w:bottom w:val="nil"/>
          <w:right w:val="nil"/>
          <w:between w:val="nil"/>
        </w:pBdr>
        <w:jc w:val="both"/>
        <w:rPr>
          <w:lang w:val="it-IT"/>
        </w:rPr>
      </w:pPr>
    </w:p>
    <w:p w14:paraId="06C918F4"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conoscere dati “solidi” sull’investimento economico collettivo che comporta il mercato delle APC;</w:t>
      </w:r>
    </w:p>
    <w:p w14:paraId="6BCEF55F"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conoscere costi disaggregati rispetto alla tipologia di pubblicazione e alla sede editoriale;</w:t>
      </w:r>
    </w:p>
    <w:p w14:paraId="7DA82835"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acquisire maggiore forza e consapevolezza nelle negoziazioni con gli editori, sia per le istituzioni che per i singoli autori;</w:t>
      </w:r>
    </w:p>
    <w:p w14:paraId="371B6C45"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superare i modelli di pubblicazione attuali progettandone altri in modo informato e consapevole.</w:t>
      </w:r>
    </w:p>
    <w:p w14:paraId="32156603" w14:textId="77777777" w:rsidR="007950A8" w:rsidRPr="008A1DDD" w:rsidRDefault="008A1DDD" w:rsidP="00AF285C">
      <w:pPr>
        <w:jc w:val="both"/>
        <w:rPr>
          <w:lang w:val="it-IT"/>
        </w:rPr>
      </w:pPr>
      <w:r w:rsidRPr="008A1DDD">
        <w:rPr>
          <w:lang w:val="it-IT"/>
        </w:rPr>
        <w:t>Un altro punto a favore dell’iniziativa è che l’impegno richiesto alle istituzioni è minimo, grazie alla struttura del progetto e al livello di automazione dei processi di raccolta, monitoraggio e controllo dei dati.</w:t>
      </w:r>
    </w:p>
    <w:p w14:paraId="79F75DD9" w14:textId="77777777" w:rsidR="007950A8" w:rsidRPr="008A1DDD" w:rsidRDefault="008A1DDD" w:rsidP="00AF285C">
      <w:pPr>
        <w:jc w:val="both"/>
        <w:rPr>
          <w:rFonts w:ascii="Calibri" w:eastAsia="Calibri" w:hAnsi="Calibri" w:cs="Calibri"/>
          <w:sz w:val="24"/>
          <w:szCs w:val="24"/>
          <w:lang w:val="it-IT"/>
        </w:rPr>
      </w:pPr>
      <w:r w:rsidRPr="008A1DDD">
        <w:rPr>
          <w:lang w:val="it-IT"/>
        </w:rPr>
        <w:t xml:space="preserve">Tutti i dati forniti a </w:t>
      </w:r>
      <w:proofErr w:type="spellStart"/>
      <w:r w:rsidRPr="008A1DDD">
        <w:rPr>
          <w:lang w:val="it-IT"/>
        </w:rPr>
        <w:t>OpenAPC</w:t>
      </w:r>
      <w:proofErr w:type="spellEnd"/>
      <w:r w:rsidRPr="008A1DDD">
        <w:rPr>
          <w:lang w:val="it-IT"/>
        </w:rPr>
        <w:t xml:space="preserve"> vengono infatti verificati automaticamente da processi automatici di routine che ne riscontrano:</w:t>
      </w:r>
    </w:p>
    <w:p w14:paraId="21D84917" w14:textId="2A77546D"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la coerenza - se due record condividono lo stesso ISSN, editori</w:t>
      </w:r>
      <w:r w:rsidR="00AF285C">
        <w:rPr>
          <w:lang w:val="it-IT"/>
        </w:rPr>
        <w:t xml:space="preserve"> e </w:t>
      </w:r>
      <w:r w:rsidRPr="008A1DDD">
        <w:rPr>
          <w:lang w:val="it-IT"/>
        </w:rPr>
        <w:t>riviste devono essere identici;</w:t>
      </w:r>
    </w:p>
    <w:p w14:paraId="0178C98E"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 xml:space="preserve">la logica - se una rivista è presente in DOAJ, il campo </w:t>
      </w:r>
      <w:proofErr w:type="spellStart"/>
      <w:r w:rsidRPr="008A1DDD">
        <w:rPr>
          <w:i/>
          <w:lang w:val="it-IT"/>
        </w:rPr>
        <w:t>is</w:t>
      </w:r>
      <w:proofErr w:type="spellEnd"/>
      <w:r w:rsidRPr="008A1DDD">
        <w:rPr>
          <w:i/>
          <w:lang w:val="it-IT"/>
        </w:rPr>
        <w:t xml:space="preserve"> </w:t>
      </w:r>
      <w:proofErr w:type="spellStart"/>
      <w:r w:rsidRPr="008A1DDD">
        <w:rPr>
          <w:i/>
          <w:lang w:val="it-IT"/>
        </w:rPr>
        <w:t>hybrid</w:t>
      </w:r>
      <w:proofErr w:type="spellEnd"/>
      <w:r w:rsidRPr="008A1DDD">
        <w:rPr>
          <w:lang w:val="it-IT"/>
        </w:rPr>
        <w:t xml:space="preserve"> deve essere FALSE;</w:t>
      </w:r>
    </w:p>
    <w:p w14:paraId="11D90A08"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i contenuti - se il DOI si risolve è sintatticamente corretto;</w:t>
      </w:r>
    </w:p>
    <w:p w14:paraId="4E628649"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le duplicazioni - ad es. un DOI è presente più di una volta nello stesso set di dati.</w:t>
      </w:r>
    </w:p>
    <w:p w14:paraId="3A2FC6BF" w14:textId="77777777" w:rsidR="00AF285C" w:rsidRDefault="00AF285C" w:rsidP="00AF285C">
      <w:pPr>
        <w:jc w:val="both"/>
        <w:rPr>
          <w:lang w:val="it-IT"/>
        </w:rPr>
      </w:pPr>
    </w:p>
    <w:p w14:paraId="34C67866" w14:textId="4F52E533" w:rsidR="007950A8" w:rsidRPr="008A1DDD" w:rsidRDefault="008A1DDD" w:rsidP="00AF285C">
      <w:pPr>
        <w:jc w:val="both"/>
        <w:rPr>
          <w:lang w:val="it-IT"/>
        </w:rPr>
      </w:pPr>
      <w:r w:rsidRPr="008A1DDD">
        <w:rPr>
          <w:lang w:val="it-IT"/>
        </w:rPr>
        <w:t>Gli errori individuati vengono segnalati alle istituzioni, che ricevono un report per ogni contributo fornito. Il report consente di apportare correzioni ai dati, effettuare controlli qualora ci siano problemi contabili e/o segnalare agli editori eventuali DOI errati.</w:t>
      </w:r>
    </w:p>
    <w:p w14:paraId="3D05A2FE" w14:textId="2A463EFD" w:rsidR="007950A8" w:rsidRPr="008A1DDD" w:rsidRDefault="009376AB">
      <w:pPr>
        <w:pStyle w:val="Titolo1"/>
        <w:rPr>
          <w:lang w:val="it-IT"/>
        </w:rPr>
      </w:pPr>
      <w:bookmarkStart w:id="11" w:name="_1vnavc14k720" w:colFirst="0" w:colLast="0"/>
      <w:bookmarkEnd w:id="11"/>
      <w:r>
        <w:rPr>
          <w:lang w:val="it-IT"/>
        </w:rPr>
        <w:t>7</w:t>
      </w:r>
      <w:r w:rsidR="008A1DDD" w:rsidRPr="008A1DDD">
        <w:rPr>
          <w:lang w:val="it-IT"/>
        </w:rPr>
        <w:t xml:space="preserve">. Linee guida per il monitoraggio </w:t>
      </w:r>
    </w:p>
    <w:p w14:paraId="7A6C688D" w14:textId="2C91925C" w:rsidR="007950A8" w:rsidRPr="008A1DDD" w:rsidRDefault="00AF285C" w:rsidP="00AF285C">
      <w:pPr>
        <w:jc w:val="both"/>
        <w:rPr>
          <w:lang w:val="it-IT"/>
        </w:rPr>
      </w:pPr>
      <w:r>
        <w:rPr>
          <w:lang w:val="it-IT"/>
        </w:rPr>
        <w:t>L</w:t>
      </w:r>
      <w:r w:rsidR="008A1DDD" w:rsidRPr="008A1DDD">
        <w:rPr>
          <w:lang w:val="it-IT"/>
        </w:rPr>
        <w:t>’obiettivo che le istituzioni devono porsi</w:t>
      </w:r>
      <w:r w:rsidR="00417CDE">
        <w:rPr>
          <w:lang w:val="it-IT"/>
        </w:rPr>
        <w:t xml:space="preserve"> – </w:t>
      </w:r>
      <w:r w:rsidR="008A1DDD" w:rsidRPr="008A1DDD">
        <w:rPr>
          <w:lang w:val="it-IT"/>
        </w:rPr>
        <w:t>sia per scopi interni e individuali</w:t>
      </w:r>
      <w:r w:rsidR="00C52EE7">
        <w:rPr>
          <w:lang w:val="it-IT"/>
        </w:rPr>
        <w:t xml:space="preserve">, </w:t>
      </w:r>
      <w:r w:rsidR="008A1DDD" w:rsidRPr="008A1DDD">
        <w:rPr>
          <w:lang w:val="it-IT"/>
        </w:rPr>
        <w:t>sia per collaborare a progetti di respiro europeo o internazionale</w:t>
      </w:r>
      <w:r w:rsidR="00417CDE">
        <w:rPr>
          <w:lang w:val="it-IT"/>
        </w:rPr>
        <w:t xml:space="preserve"> </w:t>
      </w:r>
      <w:r w:rsidR="008A1DDD" w:rsidRPr="008A1DDD">
        <w:rPr>
          <w:lang w:val="it-IT"/>
        </w:rPr>
        <w:t xml:space="preserve">come </w:t>
      </w:r>
      <w:proofErr w:type="spellStart"/>
      <w:r w:rsidR="008A1DDD" w:rsidRPr="008A1DDD">
        <w:rPr>
          <w:lang w:val="it-IT"/>
        </w:rPr>
        <w:t>OpenAPC</w:t>
      </w:r>
      <w:proofErr w:type="spellEnd"/>
      <w:r w:rsidR="00C52EE7">
        <w:rPr>
          <w:lang w:val="it-IT"/>
        </w:rPr>
        <w:t xml:space="preserve"> – </w:t>
      </w:r>
      <w:r>
        <w:rPr>
          <w:lang w:val="it-IT"/>
        </w:rPr>
        <w:t>è quello di o</w:t>
      </w:r>
      <w:r w:rsidRPr="008A1DDD">
        <w:rPr>
          <w:lang w:val="it-IT"/>
        </w:rPr>
        <w:t>rganizzare una corretta rendicontazione delle spese OA</w:t>
      </w:r>
      <w:r>
        <w:rPr>
          <w:lang w:val="it-IT"/>
        </w:rPr>
        <w:t>.</w:t>
      </w:r>
      <w:r w:rsidR="00AC7207">
        <w:rPr>
          <w:lang w:val="it-IT"/>
        </w:rPr>
        <w:t xml:space="preserve"> Diviene pertanto </w:t>
      </w:r>
      <w:r w:rsidR="008A1DDD" w:rsidRPr="008A1DDD">
        <w:rPr>
          <w:lang w:val="it-IT"/>
        </w:rPr>
        <w:t>indispensabile che le istituzioni</w:t>
      </w:r>
      <w:r w:rsidR="00417CDE">
        <w:rPr>
          <w:lang w:val="it-IT"/>
        </w:rPr>
        <w:t xml:space="preserve"> </w:t>
      </w:r>
      <w:r w:rsidR="008A1DDD" w:rsidRPr="008A1DDD">
        <w:rPr>
          <w:lang w:val="it-IT"/>
        </w:rPr>
        <w:t>si dotino di strumenti puntuali per il rilevamento delle spese</w:t>
      </w:r>
      <w:r w:rsidR="00E53929">
        <w:rPr>
          <w:lang w:val="it-IT"/>
        </w:rPr>
        <w:t>.</w:t>
      </w:r>
    </w:p>
    <w:p w14:paraId="3A5902ED" w14:textId="250CDC99" w:rsidR="007950A8" w:rsidRDefault="006A0912" w:rsidP="00C52EE7">
      <w:pPr>
        <w:pBdr>
          <w:top w:val="nil"/>
          <w:left w:val="nil"/>
          <w:bottom w:val="nil"/>
          <w:right w:val="nil"/>
          <w:between w:val="nil"/>
        </w:pBdr>
        <w:spacing w:before="120" w:line="240" w:lineRule="auto"/>
        <w:jc w:val="both"/>
        <w:rPr>
          <w:lang w:val="it-IT"/>
        </w:rPr>
      </w:pPr>
      <w:r>
        <w:rPr>
          <w:lang w:val="it-IT"/>
        </w:rPr>
        <w:lastRenderedPageBreak/>
        <w:t>Per questo motivo</w:t>
      </w:r>
      <w:r w:rsidR="00C52EE7">
        <w:rPr>
          <w:lang w:val="it-IT"/>
        </w:rPr>
        <w:t xml:space="preserve"> si rende necessaria la creazione di un’apposita voce di bilancio che consenta di </w:t>
      </w:r>
      <w:r w:rsidR="008A1DDD" w:rsidRPr="008A1DDD">
        <w:rPr>
          <w:lang w:val="it-IT"/>
        </w:rPr>
        <w:t>isolare la spesa per APC da altri tipi di spesa e di avere rapidamente contezza d</w:t>
      </w:r>
      <w:r w:rsidR="00AF285C">
        <w:rPr>
          <w:lang w:val="it-IT"/>
        </w:rPr>
        <w:t xml:space="preserve">ei costi sostenuti. </w:t>
      </w:r>
      <w:r w:rsidR="008A1DDD" w:rsidRPr="008A1DDD">
        <w:rPr>
          <w:lang w:val="it-IT"/>
        </w:rPr>
        <w:t xml:space="preserve"> </w:t>
      </w:r>
      <w:r w:rsidR="00AF285C">
        <w:rPr>
          <w:lang w:val="it-IT"/>
        </w:rPr>
        <w:t xml:space="preserve">Questa </w:t>
      </w:r>
      <w:r w:rsidR="008A1DDD" w:rsidRPr="008A1DDD">
        <w:rPr>
          <w:lang w:val="it-IT"/>
        </w:rPr>
        <w:t>voce di bilancio dovrà sempre essere usata soltanto per rendicontare una spesa per APC</w:t>
      </w:r>
      <w:r w:rsidR="00AF285C">
        <w:rPr>
          <w:lang w:val="it-IT"/>
        </w:rPr>
        <w:t>, mentre</w:t>
      </w:r>
      <w:r w:rsidR="008A1DDD" w:rsidRPr="008A1DDD">
        <w:rPr>
          <w:lang w:val="it-IT"/>
        </w:rPr>
        <w:t xml:space="preserve"> non dovrà essere usata per documentare altre spese inerenti</w:t>
      </w:r>
      <w:r w:rsidR="00AF285C">
        <w:rPr>
          <w:lang w:val="it-IT"/>
        </w:rPr>
        <w:t xml:space="preserve"> </w:t>
      </w:r>
      <w:proofErr w:type="gramStart"/>
      <w:r>
        <w:rPr>
          <w:lang w:val="it-IT"/>
        </w:rPr>
        <w:t>la</w:t>
      </w:r>
      <w:proofErr w:type="gramEnd"/>
      <w:r w:rsidR="00AF285C">
        <w:rPr>
          <w:lang w:val="it-IT"/>
        </w:rPr>
        <w:t xml:space="preserve"> </w:t>
      </w:r>
      <w:r w:rsidR="008A1DDD" w:rsidRPr="008A1DDD">
        <w:rPr>
          <w:lang w:val="it-IT"/>
        </w:rPr>
        <w:t>pubblicazione, come importi per pagine aggiuntive dell’articolo, pagine a colori o immagini.</w:t>
      </w:r>
    </w:p>
    <w:p w14:paraId="1D682B0F" w14:textId="77777777" w:rsidR="00F177D7" w:rsidRDefault="00F177D7" w:rsidP="00AF285C">
      <w:pPr>
        <w:jc w:val="both"/>
        <w:rPr>
          <w:lang w:val="it-IT"/>
        </w:rPr>
      </w:pPr>
    </w:p>
    <w:p w14:paraId="03D20476" w14:textId="3E0875CC" w:rsidR="007950A8" w:rsidRPr="008A1DDD" w:rsidRDefault="008A1DDD" w:rsidP="00AF285C">
      <w:pPr>
        <w:jc w:val="both"/>
        <w:rPr>
          <w:lang w:val="it-IT"/>
        </w:rPr>
      </w:pPr>
      <w:r w:rsidRPr="008A1DDD">
        <w:rPr>
          <w:lang w:val="it-IT"/>
        </w:rPr>
        <w:t>Per acquisire correttamente i dati e</w:t>
      </w:r>
      <w:r w:rsidR="00AF285C">
        <w:rPr>
          <w:lang w:val="it-IT"/>
        </w:rPr>
        <w:t xml:space="preserve"> sapere</w:t>
      </w:r>
      <w:r w:rsidRPr="008A1DDD">
        <w:rPr>
          <w:lang w:val="it-IT"/>
        </w:rPr>
        <w:t xml:space="preserve"> quanto l’istituzione spende per pubblicare in accesso aperto, </w:t>
      </w:r>
      <w:r w:rsidR="00F177D7">
        <w:rPr>
          <w:lang w:val="it-IT"/>
        </w:rPr>
        <w:t xml:space="preserve">su </w:t>
      </w:r>
      <w:r w:rsidRPr="008A1DDD">
        <w:rPr>
          <w:lang w:val="it-IT"/>
        </w:rPr>
        <w:t>quali riviste e con quali editori, è necessario descrivere la spesa effettuata indicando gli elementi essenziali alla sua identificazione:</w:t>
      </w:r>
    </w:p>
    <w:p w14:paraId="2B01C57C" w14:textId="77777777" w:rsidR="007950A8" w:rsidRPr="00AF285C" w:rsidRDefault="007950A8">
      <w:pPr>
        <w:rPr>
          <w:lang w:val="it-IT"/>
        </w:rPr>
      </w:pPr>
    </w:p>
    <w:p w14:paraId="7E01FCBC" w14:textId="35F72E20" w:rsidR="007950A8" w:rsidRPr="00AF285C" w:rsidRDefault="008A1DDD">
      <w:pPr>
        <w:numPr>
          <w:ilvl w:val="0"/>
          <w:numId w:val="8"/>
        </w:numPr>
        <w:rPr>
          <w:lang w:val="it-IT"/>
        </w:rPr>
      </w:pPr>
      <w:r w:rsidRPr="00AF285C">
        <w:rPr>
          <w:lang w:val="it-IT"/>
        </w:rPr>
        <w:t>Cognome dell’autore CNR che sostiene i costi per APC</w:t>
      </w:r>
    </w:p>
    <w:p w14:paraId="2D49BE92" w14:textId="77777777" w:rsidR="007950A8" w:rsidRPr="00AF285C" w:rsidRDefault="008A1DDD">
      <w:pPr>
        <w:numPr>
          <w:ilvl w:val="0"/>
          <w:numId w:val="8"/>
        </w:numPr>
        <w:rPr>
          <w:lang w:val="it-IT"/>
        </w:rPr>
      </w:pPr>
      <w:r w:rsidRPr="00AF285C">
        <w:rPr>
          <w:lang w:val="it-IT"/>
        </w:rPr>
        <w:t>Titolo della rivista o del libro o del capitolo</w:t>
      </w:r>
    </w:p>
    <w:p w14:paraId="0120ADB3" w14:textId="77777777" w:rsidR="007950A8" w:rsidRPr="00AF285C" w:rsidRDefault="008A1DDD">
      <w:pPr>
        <w:numPr>
          <w:ilvl w:val="0"/>
          <w:numId w:val="8"/>
        </w:numPr>
      </w:pPr>
      <w:proofErr w:type="spellStart"/>
      <w:r w:rsidRPr="00AF285C">
        <w:t>Editore</w:t>
      </w:r>
      <w:proofErr w:type="spellEnd"/>
    </w:p>
    <w:p w14:paraId="5DB46A84" w14:textId="77777777" w:rsidR="007950A8" w:rsidRPr="00AF285C" w:rsidRDefault="008A1DDD">
      <w:pPr>
        <w:numPr>
          <w:ilvl w:val="0"/>
          <w:numId w:val="8"/>
        </w:numPr>
      </w:pPr>
      <w:r w:rsidRPr="00AF285C">
        <w:t>ISSN o ISBN</w:t>
      </w:r>
    </w:p>
    <w:p w14:paraId="6D673686" w14:textId="77777777" w:rsidR="007950A8" w:rsidRPr="00AF285C" w:rsidRDefault="008A1DDD">
      <w:pPr>
        <w:numPr>
          <w:ilvl w:val="0"/>
          <w:numId w:val="8"/>
        </w:numPr>
      </w:pPr>
      <w:r w:rsidRPr="00AF285C">
        <w:t>DOI</w:t>
      </w:r>
    </w:p>
    <w:p w14:paraId="2BA39F8D" w14:textId="77777777" w:rsidR="007950A8" w:rsidRDefault="007950A8"/>
    <w:tbl>
      <w:tblPr>
        <w:tblStyle w:val="a1"/>
        <w:tblW w:w="82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tblGrid>
      <w:tr w:rsidR="007950A8" w14:paraId="6ADCF1CF" w14:textId="77777777">
        <w:trPr>
          <w:jc w:val="center"/>
        </w:trPr>
        <w:tc>
          <w:tcPr>
            <w:tcW w:w="8220" w:type="dxa"/>
            <w:shd w:val="clear" w:color="auto" w:fill="F6F6F6"/>
            <w:tcMar>
              <w:top w:w="100" w:type="dxa"/>
              <w:left w:w="100" w:type="dxa"/>
              <w:bottom w:w="100" w:type="dxa"/>
              <w:right w:w="100" w:type="dxa"/>
            </w:tcMar>
          </w:tcPr>
          <w:p w14:paraId="3F2CBB37" w14:textId="77777777" w:rsidR="007950A8" w:rsidRPr="008A1DDD" w:rsidRDefault="008A1DDD">
            <w:pPr>
              <w:rPr>
                <w:lang w:val="it-IT"/>
              </w:rPr>
            </w:pPr>
            <w:r w:rsidRPr="008A1DDD">
              <w:rPr>
                <w:lang w:val="it-IT"/>
              </w:rPr>
              <w:t>Esempio per articolo pubblicato in rivista</w:t>
            </w:r>
          </w:p>
          <w:p w14:paraId="32170266" w14:textId="77777777" w:rsidR="007950A8" w:rsidRDefault="008A1DDD">
            <w:pPr>
              <w:rPr>
                <w:i/>
              </w:rPr>
            </w:pPr>
            <w:proofErr w:type="spellStart"/>
            <w:r>
              <w:t>Titolo</w:t>
            </w:r>
            <w:proofErr w:type="spellEnd"/>
            <w:r>
              <w:t xml:space="preserve"> </w:t>
            </w:r>
            <w:proofErr w:type="spellStart"/>
            <w:r>
              <w:t>articolo</w:t>
            </w:r>
            <w:proofErr w:type="spellEnd"/>
            <w:r>
              <w:t xml:space="preserve">: </w:t>
            </w:r>
            <w:r>
              <w:rPr>
                <w:i/>
              </w:rPr>
              <w:t>A primer on machine learning techniques for genomic applications</w:t>
            </w:r>
          </w:p>
          <w:p w14:paraId="37C3DF98" w14:textId="77777777" w:rsidR="007950A8" w:rsidRDefault="008A1DDD">
            <w:pPr>
              <w:rPr>
                <w:i/>
              </w:rPr>
            </w:pPr>
            <w:proofErr w:type="spellStart"/>
            <w:r>
              <w:t>Titolo</w:t>
            </w:r>
            <w:proofErr w:type="spellEnd"/>
            <w:r>
              <w:t xml:space="preserve"> </w:t>
            </w:r>
            <w:proofErr w:type="spellStart"/>
            <w:r>
              <w:t>rivista</w:t>
            </w:r>
            <w:proofErr w:type="spellEnd"/>
            <w:r>
              <w:t xml:space="preserve">: </w:t>
            </w:r>
            <w:r>
              <w:rPr>
                <w:i/>
              </w:rPr>
              <w:t>Computational and Structural Biotechnology Journal</w:t>
            </w:r>
          </w:p>
          <w:p w14:paraId="70658A34" w14:textId="77777777" w:rsidR="007950A8" w:rsidRDefault="008A1DDD">
            <w:proofErr w:type="spellStart"/>
            <w:r>
              <w:t>Editore</w:t>
            </w:r>
            <w:proofErr w:type="spellEnd"/>
            <w:r>
              <w:t>: Elsevier</w:t>
            </w:r>
          </w:p>
          <w:p w14:paraId="0273F1BE" w14:textId="77777777" w:rsidR="007950A8" w:rsidRDefault="008A1DDD">
            <w:r>
              <w:t>ISSN: 2001-0370</w:t>
            </w:r>
          </w:p>
          <w:p w14:paraId="350DBB73" w14:textId="77777777" w:rsidR="007950A8" w:rsidRDefault="008A1DDD">
            <w:r>
              <w:t>DOI: 10.1016/j.csbj.2021.07.021</w:t>
            </w:r>
          </w:p>
        </w:tc>
      </w:tr>
    </w:tbl>
    <w:p w14:paraId="39358A89" w14:textId="77777777" w:rsidR="007950A8" w:rsidRDefault="007950A8"/>
    <w:p w14:paraId="561078D1" w14:textId="7427C25E" w:rsidR="007950A8" w:rsidRDefault="008A1DDD">
      <w:pPr>
        <w:jc w:val="both"/>
        <w:rPr>
          <w:lang w:val="it-IT"/>
        </w:rPr>
      </w:pPr>
      <w:r w:rsidRPr="008A1DDD">
        <w:rPr>
          <w:lang w:val="it-IT"/>
        </w:rPr>
        <w:t xml:space="preserve">Di particolare rilevanza è l’acquisizione del DOI in quanto identificativo univoco dell’articolo per cui, anche in assenza di altri dati, </w:t>
      </w:r>
      <w:r w:rsidR="00F177D7">
        <w:rPr>
          <w:lang w:val="it-IT"/>
        </w:rPr>
        <w:t xml:space="preserve">ne </w:t>
      </w:r>
      <w:r w:rsidRPr="008A1DDD">
        <w:rPr>
          <w:lang w:val="it-IT"/>
        </w:rPr>
        <w:t xml:space="preserve">consente </w:t>
      </w:r>
      <w:r w:rsidR="00F177D7">
        <w:rPr>
          <w:lang w:val="it-IT"/>
        </w:rPr>
        <w:t>l’individuazione</w:t>
      </w:r>
      <w:r w:rsidRPr="008A1DDD">
        <w:rPr>
          <w:lang w:val="it-IT"/>
        </w:rPr>
        <w:t xml:space="preserve">. L’importanza del DOI è confermata anche nel paragrafo successivo, nel quale sono indicati i metadati richiesti da </w:t>
      </w:r>
      <w:proofErr w:type="spellStart"/>
      <w:r w:rsidRPr="008A1DDD">
        <w:rPr>
          <w:lang w:val="it-IT"/>
        </w:rPr>
        <w:t>OpenAPC</w:t>
      </w:r>
      <w:proofErr w:type="spellEnd"/>
      <w:r w:rsidRPr="008A1DDD">
        <w:rPr>
          <w:lang w:val="it-IT"/>
        </w:rPr>
        <w:t xml:space="preserve"> ed è spiegato l’utilizzo del DOI all’interno del progetto.</w:t>
      </w:r>
    </w:p>
    <w:p w14:paraId="061E6D0A" w14:textId="77777777" w:rsidR="00F177D7" w:rsidRDefault="00F177D7">
      <w:pPr>
        <w:jc w:val="both"/>
        <w:rPr>
          <w:lang w:val="it-IT"/>
        </w:rPr>
      </w:pPr>
    </w:p>
    <w:p w14:paraId="6E1EDA2F" w14:textId="4ECFA78E" w:rsidR="00264195" w:rsidRDefault="00C52EE7">
      <w:pPr>
        <w:jc w:val="both"/>
        <w:rPr>
          <w:lang w:val="it-IT"/>
        </w:rPr>
      </w:pPr>
      <w:r>
        <w:rPr>
          <w:lang w:val="it-IT"/>
        </w:rPr>
        <w:t>L</w:t>
      </w:r>
      <w:r w:rsidR="00F177D7">
        <w:rPr>
          <w:lang w:val="it-IT"/>
        </w:rPr>
        <w:t>a rendicontazione delle spese per l’accesso aperto coinvolge necessariamente il personale delle amministrazioni</w:t>
      </w:r>
      <w:r w:rsidR="009E7EAC">
        <w:rPr>
          <w:lang w:val="it-IT"/>
        </w:rPr>
        <w:t>,</w:t>
      </w:r>
      <w:r w:rsidR="00F177D7">
        <w:rPr>
          <w:lang w:val="it-IT"/>
        </w:rPr>
        <w:t xml:space="preserve"> </w:t>
      </w:r>
      <w:r w:rsidR="00953F40">
        <w:rPr>
          <w:lang w:val="it-IT"/>
        </w:rPr>
        <w:t>in quanto incaricato di compilare gli impegni di spesa nei sistemi contabili delle istituzioni.</w:t>
      </w:r>
    </w:p>
    <w:p w14:paraId="0F5BD5A5" w14:textId="511FD35D" w:rsidR="00907BE4" w:rsidRDefault="00907BE4">
      <w:pPr>
        <w:jc w:val="both"/>
        <w:rPr>
          <w:lang w:val="it-IT"/>
        </w:rPr>
      </w:pPr>
    </w:p>
    <w:p w14:paraId="0A2EEAAC" w14:textId="154C9559" w:rsidR="00907BE4" w:rsidRDefault="00907BE4" w:rsidP="00907BE4">
      <w:pPr>
        <w:jc w:val="both"/>
        <w:rPr>
          <w:lang w:val="it-IT"/>
        </w:rPr>
      </w:pPr>
      <w:r>
        <w:rPr>
          <w:lang w:val="it-IT"/>
        </w:rPr>
        <w:t>Tuttavia, le informazioni necessarie alla rendicontazione potrebbero non essere a disposizione delle amministrazioni al momento della registrazione dell’ordine, per cui dovranno essere reperite rivolgendosi agli autori degli articoli, agli editori o ad altro personale, coinvolto nella gestione dei prodotti della ricerca.</w:t>
      </w:r>
    </w:p>
    <w:p w14:paraId="4CFC6802" w14:textId="77777777" w:rsidR="00907BE4" w:rsidRDefault="00907BE4">
      <w:pPr>
        <w:jc w:val="both"/>
        <w:rPr>
          <w:lang w:val="it-IT"/>
        </w:rPr>
      </w:pPr>
    </w:p>
    <w:p w14:paraId="23C3EA9B" w14:textId="2E0BEF90" w:rsidR="006A0912" w:rsidRDefault="006A0912">
      <w:pPr>
        <w:jc w:val="both"/>
        <w:rPr>
          <w:lang w:val="it-IT"/>
        </w:rPr>
      </w:pPr>
    </w:p>
    <w:p w14:paraId="21771EFE" w14:textId="6E0CE164" w:rsidR="00E53929" w:rsidRDefault="00E53929" w:rsidP="00E53929">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lang w:val="it-IT"/>
        </w:rPr>
      </w:pPr>
      <w:r w:rsidRPr="00E53929">
        <w:rPr>
          <w:b/>
          <w:bCs/>
          <w:lang w:val="it-IT"/>
        </w:rPr>
        <w:t>Raccomandazione</w:t>
      </w:r>
      <w:r>
        <w:rPr>
          <w:lang w:val="it-IT"/>
        </w:rPr>
        <w:t xml:space="preserve"> – Uso del repository istituzionale per i</w:t>
      </w:r>
      <w:r w:rsidR="006A0912">
        <w:rPr>
          <w:lang w:val="it-IT"/>
        </w:rPr>
        <w:t>l</w:t>
      </w:r>
      <w:r w:rsidR="00B93005" w:rsidRPr="00B93005">
        <w:rPr>
          <w:lang w:val="it-IT"/>
        </w:rPr>
        <w:t xml:space="preserve"> rilevamento delle spese</w:t>
      </w:r>
      <w:r w:rsidR="006A0912">
        <w:rPr>
          <w:lang w:val="it-IT"/>
        </w:rPr>
        <w:t xml:space="preserve"> </w:t>
      </w:r>
      <w:r>
        <w:rPr>
          <w:lang w:val="it-IT"/>
        </w:rPr>
        <w:t>OA.</w:t>
      </w:r>
    </w:p>
    <w:p w14:paraId="3A0F2907" w14:textId="06214AE8" w:rsidR="00E53929" w:rsidRPr="006A0912" w:rsidRDefault="006A0912" w:rsidP="00E53929">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eastAsia="Times New Roman"/>
          <w:lang w:val="it-IT"/>
        </w:rPr>
      </w:pPr>
      <w:r>
        <w:rPr>
          <w:lang w:val="it-IT"/>
        </w:rPr>
        <w:t>Questa soluzione</w:t>
      </w:r>
      <w:r w:rsidRPr="006A0912">
        <w:rPr>
          <w:rFonts w:eastAsia="Times New Roman"/>
          <w:lang w:val="it-IT"/>
        </w:rPr>
        <w:t xml:space="preserve"> presenta il vantaggio di </w:t>
      </w:r>
      <w:r>
        <w:rPr>
          <w:rFonts w:eastAsia="Times New Roman"/>
          <w:lang w:val="it-IT"/>
        </w:rPr>
        <w:t xml:space="preserve">rendere </w:t>
      </w:r>
      <w:r w:rsidRPr="006A0912">
        <w:rPr>
          <w:rFonts w:eastAsia="Times New Roman"/>
          <w:lang w:val="it-IT"/>
        </w:rPr>
        <w:t>dispo</w:t>
      </w:r>
      <w:r>
        <w:rPr>
          <w:rFonts w:eastAsia="Times New Roman"/>
          <w:lang w:val="it-IT"/>
        </w:rPr>
        <w:t>nibili</w:t>
      </w:r>
      <w:r w:rsidRPr="006A0912">
        <w:rPr>
          <w:rFonts w:eastAsia="Times New Roman"/>
          <w:lang w:val="it-IT"/>
        </w:rPr>
        <w:t xml:space="preserve"> </w:t>
      </w:r>
      <w:r>
        <w:rPr>
          <w:rFonts w:eastAsia="Times New Roman"/>
          <w:lang w:val="it-IT"/>
        </w:rPr>
        <w:t>gli elementi</w:t>
      </w:r>
      <w:r w:rsidRPr="006A0912">
        <w:rPr>
          <w:rFonts w:eastAsia="Times New Roman"/>
          <w:lang w:val="it-IT"/>
        </w:rPr>
        <w:t xml:space="preserve"> descrittivi del documento</w:t>
      </w:r>
      <w:r>
        <w:rPr>
          <w:rFonts w:eastAsia="Times New Roman"/>
          <w:lang w:val="it-IT"/>
        </w:rPr>
        <w:t xml:space="preserve"> di cui sopra,</w:t>
      </w:r>
      <w:r w:rsidRPr="006A0912">
        <w:rPr>
          <w:rFonts w:eastAsia="Times New Roman"/>
          <w:lang w:val="it-IT"/>
        </w:rPr>
        <w:t xml:space="preserve"> in quanto inseriti dagli autori o dal personale che gestisce i prodotti della ricerca. Le informazioni sull’eventuale APC </w:t>
      </w:r>
      <w:r>
        <w:rPr>
          <w:rFonts w:eastAsia="Times New Roman"/>
          <w:lang w:val="it-IT"/>
        </w:rPr>
        <w:t>dovrebbero essere indicate dagli stessi autori nel momento in cui avviene il deposito dei documenti</w:t>
      </w:r>
      <w:r w:rsidR="007C08FB">
        <w:rPr>
          <w:rFonts w:eastAsia="Times New Roman"/>
          <w:lang w:val="it-IT"/>
        </w:rPr>
        <w:t>.</w:t>
      </w:r>
      <w:r w:rsidR="00E53929">
        <w:rPr>
          <w:rFonts w:eastAsia="Times New Roman"/>
          <w:lang w:val="it-IT"/>
        </w:rPr>
        <w:t xml:space="preserve"> Allo scopo, i repository dovrebbero essere dotati</w:t>
      </w:r>
      <w:r w:rsidR="00907BE4">
        <w:rPr>
          <w:rFonts w:eastAsia="Times New Roman"/>
          <w:lang w:val="it-IT"/>
        </w:rPr>
        <w:t>,</w:t>
      </w:r>
      <w:r w:rsidR="00E53929">
        <w:rPr>
          <w:rFonts w:eastAsia="Times New Roman"/>
          <w:lang w:val="it-IT"/>
        </w:rPr>
        <w:t xml:space="preserve"> almeno</w:t>
      </w:r>
      <w:r w:rsidR="00907BE4">
        <w:rPr>
          <w:rFonts w:eastAsia="Times New Roman"/>
          <w:lang w:val="it-IT"/>
        </w:rPr>
        <w:t>,</w:t>
      </w:r>
      <w:r w:rsidR="00E53929">
        <w:rPr>
          <w:rFonts w:eastAsia="Times New Roman"/>
          <w:lang w:val="it-IT"/>
        </w:rPr>
        <w:t xml:space="preserve"> dei seguenti campi: importo APC, valuta, tipologia di rivista (</w:t>
      </w:r>
      <w:proofErr w:type="spellStart"/>
      <w:r w:rsidR="00E53929">
        <w:rPr>
          <w:rFonts w:eastAsia="Times New Roman"/>
          <w:lang w:val="it-IT"/>
        </w:rPr>
        <w:t>Hybrid</w:t>
      </w:r>
      <w:proofErr w:type="spellEnd"/>
      <w:r w:rsidR="00E53929">
        <w:rPr>
          <w:rFonts w:eastAsia="Times New Roman"/>
          <w:lang w:val="it-IT"/>
        </w:rPr>
        <w:t xml:space="preserve"> OA o Gold OA).</w:t>
      </w:r>
    </w:p>
    <w:p w14:paraId="626E3A57" w14:textId="77777777" w:rsidR="00E53929" w:rsidRDefault="00E53929" w:rsidP="007C08FB">
      <w:pPr>
        <w:jc w:val="both"/>
        <w:rPr>
          <w:lang w:val="it-IT"/>
        </w:rPr>
      </w:pPr>
    </w:p>
    <w:p w14:paraId="50F7DBF7" w14:textId="50D2E674" w:rsidR="007950A8" w:rsidRPr="008A1DDD" w:rsidRDefault="009376AB">
      <w:pPr>
        <w:pStyle w:val="Titolo1"/>
        <w:rPr>
          <w:lang w:val="it-IT"/>
        </w:rPr>
      </w:pPr>
      <w:bookmarkStart w:id="12" w:name="_17lnyn90c1s6" w:colFirst="0" w:colLast="0"/>
      <w:bookmarkEnd w:id="12"/>
      <w:r>
        <w:rPr>
          <w:lang w:val="it-IT"/>
        </w:rPr>
        <w:lastRenderedPageBreak/>
        <w:t>8</w:t>
      </w:r>
      <w:r w:rsidR="008A1DDD" w:rsidRPr="008A1DDD">
        <w:rPr>
          <w:lang w:val="it-IT"/>
        </w:rPr>
        <w:t xml:space="preserve">. Linee guida per </w:t>
      </w:r>
      <w:proofErr w:type="spellStart"/>
      <w:r w:rsidR="008A1DDD" w:rsidRPr="008A1DDD">
        <w:rPr>
          <w:lang w:val="it-IT"/>
        </w:rPr>
        <w:t>OpenAPC</w:t>
      </w:r>
      <w:proofErr w:type="spellEnd"/>
    </w:p>
    <w:p w14:paraId="4FBE7E1A" w14:textId="77777777" w:rsidR="007950A8" w:rsidRPr="008A1DDD" w:rsidRDefault="008A1DDD">
      <w:pPr>
        <w:pBdr>
          <w:top w:val="nil"/>
          <w:left w:val="nil"/>
          <w:bottom w:val="nil"/>
          <w:right w:val="nil"/>
          <w:between w:val="nil"/>
        </w:pBdr>
        <w:spacing w:line="240" w:lineRule="auto"/>
        <w:jc w:val="both"/>
        <w:rPr>
          <w:lang w:val="it-IT"/>
        </w:rPr>
      </w:pPr>
      <w:r w:rsidRPr="008A1DDD">
        <w:rPr>
          <w:lang w:val="it-IT"/>
        </w:rPr>
        <w:t xml:space="preserve">La partecipazione a </w:t>
      </w:r>
      <w:proofErr w:type="spellStart"/>
      <w:r w:rsidRPr="008A1DDD">
        <w:rPr>
          <w:lang w:val="it-IT"/>
        </w:rPr>
        <w:t>OpenAPC</w:t>
      </w:r>
      <w:proofErr w:type="spellEnd"/>
      <w:r w:rsidRPr="008A1DDD">
        <w:rPr>
          <w:lang w:val="it-IT"/>
        </w:rPr>
        <w:t xml:space="preserve"> è libera, non sono richieste iscrizioni formali né investimenti economici e non è necessario attivare complicati percorsi burocratico/amministrativi. I dati sono forniti dalle istituzioni accademiche o da </w:t>
      </w:r>
      <w:proofErr w:type="spellStart"/>
      <w:r w:rsidRPr="008A1DDD">
        <w:rPr>
          <w:lang w:val="it-IT"/>
        </w:rPr>
        <w:t>funders</w:t>
      </w:r>
      <w:proofErr w:type="spellEnd"/>
      <w:r w:rsidRPr="008A1DDD">
        <w:rPr>
          <w:lang w:val="it-IT"/>
        </w:rPr>
        <w:t xml:space="preserve"> su base volontaria, mediante l’invio di un file CSV conforme allo schema di dati prescelto. Ai dati viene associata una licenza open che ne garantisce l’accesso pubblico e la riusabilità.</w:t>
      </w:r>
    </w:p>
    <w:p w14:paraId="59F89073" w14:textId="77777777" w:rsidR="007950A8" w:rsidRPr="008A1DDD" w:rsidRDefault="008A1DDD">
      <w:pPr>
        <w:pBdr>
          <w:top w:val="nil"/>
          <w:left w:val="nil"/>
          <w:bottom w:val="nil"/>
          <w:right w:val="nil"/>
          <w:between w:val="nil"/>
        </w:pBdr>
        <w:spacing w:before="120" w:line="240" w:lineRule="auto"/>
        <w:jc w:val="both"/>
        <w:rPr>
          <w:lang w:val="it-IT"/>
        </w:rPr>
      </w:pPr>
      <w:r w:rsidRPr="008A1DDD">
        <w:rPr>
          <w:lang w:val="it-IT"/>
        </w:rPr>
        <w:t>In estrema sintesi, i passaggi da compiere sono i seguenti:</w:t>
      </w:r>
    </w:p>
    <w:p w14:paraId="2FCA5FEC" w14:textId="77777777" w:rsidR="007950A8" w:rsidRPr="00512A54" w:rsidRDefault="008A1DDD">
      <w:pPr>
        <w:pBdr>
          <w:top w:val="nil"/>
          <w:left w:val="nil"/>
          <w:bottom w:val="nil"/>
          <w:right w:val="nil"/>
          <w:between w:val="nil"/>
        </w:pBdr>
        <w:spacing w:before="120" w:line="240" w:lineRule="auto"/>
        <w:jc w:val="both"/>
        <w:rPr>
          <w:lang w:val="it-IT"/>
        </w:rPr>
      </w:pPr>
      <w:r w:rsidRPr="00512A54">
        <w:rPr>
          <w:lang w:val="it-IT"/>
        </w:rPr>
        <w:t>1.      preparare un set di dati secondo le linee guida a seguire;</w:t>
      </w:r>
    </w:p>
    <w:p w14:paraId="01CEB9E7" w14:textId="77777777" w:rsidR="007950A8" w:rsidRPr="00512A54" w:rsidRDefault="008A1DDD">
      <w:pPr>
        <w:pBdr>
          <w:top w:val="nil"/>
          <w:left w:val="nil"/>
          <w:bottom w:val="nil"/>
          <w:right w:val="nil"/>
          <w:between w:val="nil"/>
        </w:pBdr>
        <w:spacing w:line="240" w:lineRule="auto"/>
        <w:jc w:val="both"/>
        <w:rPr>
          <w:lang w:val="it-IT"/>
        </w:rPr>
      </w:pPr>
      <w:r w:rsidRPr="00512A54">
        <w:rPr>
          <w:lang w:val="it-IT"/>
        </w:rPr>
        <w:t>2.      indicare la persona di contatto dell’istituzione (nome + indirizzo e-mail);</w:t>
      </w:r>
    </w:p>
    <w:p w14:paraId="72BE8C3C" w14:textId="77777777" w:rsidR="007950A8" w:rsidRPr="00512A54" w:rsidRDefault="008A1DDD">
      <w:pPr>
        <w:jc w:val="both"/>
        <w:rPr>
          <w:rFonts w:ascii="Calibri" w:eastAsia="Calibri" w:hAnsi="Calibri" w:cs="Calibri"/>
          <w:sz w:val="24"/>
          <w:szCs w:val="24"/>
          <w:lang w:val="it-IT"/>
        </w:rPr>
      </w:pPr>
      <w:r w:rsidRPr="00512A54">
        <w:rPr>
          <w:lang w:val="it-IT"/>
        </w:rPr>
        <w:t>3.      inviare il file all’indirizzo openapc@uni-bielefeld.de.</w:t>
      </w:r>
    </w:p>
    <w:p w14:paraId="1316D848" w14:textId="77777777" w:rsidR="007950A8" w:rsidRPr="008A1DDD" w:rsidRDefault="008A1DDD">
      <w:pPr>
        <w:pBdr>
          <w:top w:val="nil"/>
          <w:left w:val="nil"/>
          <w:bottom w:val="nil"/>
          <w:right w:val="nil"/>
          <w:between w:val="nil"/>
        </w:pBdr>
        <w:spacing w:before="120" w:line="240" w:lineRule="auto"/>
        <w:jc w:val="both"/>
        <w:rPr>
          <w:lang w:val="it-IT"/>
        </w:rPr>
      </w:pPr>
      <w:r w:rsidRPr="008A1DDD">
        <w:rPr>
          <w:lang w:val="it-IT"/>
        </w:rPr>
        <w:t>La trasmissione dei dati può avvenire anche mediante caricamento diretto sulla piattaforma GitHub, utilizzata dal progetto per la raccolta e la conservazione delle informazioni</w:t>
      </w:r>
      <w:r>
        <w:rPr>
          <w:vertAlign w:val="superscript"/>
        </w:rPr>
        <w:footnoteReference w:id="4"/>
      </w:r>
      <w:r w:rsidRPr="008A1DDD">
        <w:rPr>
          <w:lang w:val="it-IT"/>
        </w:rPr>
        <w:t>.</w:t>
      </w:r>
    </w:p>
    <w:p w14:paraId="6E73FDB9" w14:textId="77777777" w:rsidR="007950A8" w:rsidRPr="008A1DDD" w:rsidRDefault="008A1DDD">
      <w:pPr>
        <w:pBdr>
          <w:top w:val="nil"/>
          <w:left w:val="nil"/>
          <w:bottom w:val="nil"/>
          <w:right w:val="nil"/>
          <w:between w:val="nil"/>
        </w:pBdr>
        <w:spacing w:before="120" w:line="240" w:lineRule="auto"/>
        <w:jc w:val="both"/>
        <w:rPr>
          <w:rFonts w:ascii="Calibri" w:eastAsia="Calibri" w:hAnsi="Calibri" w:cs="Calibri"/>
          <w:sz w:val="24"/>
          <w:szCs w:val="24"/>
          <w:lang w:val="it-IT"/>
        </w:rPr>
      </w:pPr>
      <w:r w:rsidRPr="008A1DDD">
        <w:rPr>
          <w:lang w:val="it-IT"/>
        </w:rPr>
        <w:t>Oltre alle istituzioni partecipanti, il progetto utilizza anche altre fonti dalle quali deriva automaticamente i riferimenti bibliografici degli articoli e altri dati:</w:t>
      </w:r>
    </w:p>
    <w:p w14:paraId="72D98B8E" w14:textId="77777777" w:rsidR="007950A8" w:rsidRPr="008A1DDD" w:rsidRDefault="008A1DDD">
      <w:pPr>
        <w:numPr>
          <w:ilvl w:val="0"/>
          <w:numId w:val="2"/>
        </w:numPr>
        <w:spacing w:before="120"/>
        <w:jc w:val="both"/>
        <w:rPr>
          <w:rFonts w:ascii="Calibri" w:eastAsia="Calibri" w:hAnsi="Calibri" w:cs="Calibri"/>
          <w:sz w:val="24"/>
          <w:szCs w:val="24"/>
          <w:lang w:val="it-IT"/>
        </w:rPr>
      </w:pPr>
      <w:proofErr w:type="spellStart"/>
      <w:r w:rsidRPr="008A1DDD">
        <w:rPr>
          <w:lang w:val="it-IT"/>
        </w:rPr>
        <w:t>CrossRef</w:t>
      </w:r>
      <w:proofErr w:type="spellEnd"/>
      <w:r w:rsidRPr="008A1DDD">
        <w:rPr>
          <w:lang w:val="it-IT"/>
        </w:rPr>
        <w:t xml:space="preserve"> - organizzazione no profit che sviluppa servizi per favorire il collegamento e la condivisione dei risultati della ricerca scientifica.</w:t>
      </w:r>
    </w:p>
    <w:p w14:paraId="1ECBAF6A" w14:textId="77777777" w:rsidR="007950A8" w:rsidRPr="008A1DDD" w:rsidRDefault="008A1DDD">
      <w:pPr>
        <w:numPr>
          <w:ilvl w:val="0"/>
          <w:numId w:val="2"/>
        </w:numPr>
        <w:jc w:val="both"/>
        <w:rPr>
          <w:rFonts w:ascii="Calibri" w:eastAsia="Calibri" w:hAnsi="Calibri" w:cs="Calibri"/>
          <w:sz w:val="24"/>
          <w:szCs w:val="24"/>
          <w:lang w:val="it-IT"/>
        </w:rPr>
      </w:pPr>
      <w:r w:rsidRPr="008A1DDD">
        <w:rPr>
          <w:lang w:val="it-IT"/>
        </w:rPr>
        <w:t xml:space="preserve">Europe </w:t>
      </w:r>
      <w:proofErr w:type="spellStart"/>
      <w:r w:rsidRPr="008A1DDD">
        <w:rPr>
          <w:lang w:val="it-IT"/>
        </w:rPr>
        <w:t>PubMed</w:t>
      </w:r>
      <w:proofErr w:type="spellEnd"/>
      <w:r w:rsidRPr="008A1DDD">
        <w:rPr>
          <w:lang w:val="it-IT"/>
        </w:rPr>
        <w:t xml:space="preserve"> Central - piattaforma partner di </w:t>
      </w:r>
      <w:proofErr w:type="spellStart"/>
      <w:r w:rsidRPr="008A1DDD">
        <w:rPr>
          <w:lang w:val="it-IT"/>
        </w:rPr>
        <w:t>PubMed</w:t>
      </w:r>
      <w:proofErr w:type="spellEnd"/>
      <w:r w:rsidRPr="008A1DDD">
        <w:rPr>
          <w:lang w:val="it-IT"/>
        </w:rPr>
        <w:t xml:space="preserve"> Central (PMC) che raccoglie e garantisce l’accesso alla letteratura sulle scienze della vita.</w:t>
      </w:r>
    </w:p>
    <w:p w14:paraId="07152D7C" w14:textId="77777777" w:rsidR="007950A8" w:rsidRDefault="008A1DDD">
      <w:pPr>
        <w:numPr>
          <w:ilvl w:val="0"/>
          <w:numId w:val="2"/>
        </w:numPr>
        <w:jc w:val="both"/>
        <w:rPr>
          <w:rFonts w:ascii="Calibri" w:eastAsia="Calibri" w:hAnsi="Calibri" w:cs="Calibri"/>
          <w:sz w:val="24"/>
          <w:szCs w:val="24"/>
        </w:rPr>
      </w:pPr>
      <w:r>
        <w:t>DOAJ - Directory of Open Access Journals</w:t>
      </w:r>
    </w:p>
    <w:p w14:paraId="527E9575" w14:textId="77777777" w:rsidR="007950A8" w:rsidRDefault="008A1DDD">
      <w:pPr>
        <w:numPr>
          <w:ilvl w:val="0"/>
          <w:numId w:val="2"/>
        </w:numPr>
        <w:jc w:val="both"/>
        <w:rPr>
          <w:rFonts w:ascii="Calibri" w:eastAsia="Calibri" w:hAnsi="Calibri" w:cs="Calibri"/>
          <w:sz w:val="24"/>
          <w:szCs w:val="24"/>
        </w:rPr>
      </w:pPr>
      <w:r>
        <w:t>DOAB - Directory of Open Access Books</w:t>
      </w:r>
    </w:p>
    <w:p w14:paraId="5D38982C" w14:textId="1F054B2A" w:rsidR="007950A8" w:rsidRPr="008A1DDD" w:rsidRDefault="009376AB">
      <w:pPr>
        <w:pStyle w:val="Titolo2"/>
        <w:keepNext w:val="0"/>
        <w:keepLines w:val="0"/>
        <w:spacing w:after="80" w:line="240" w:lineRule="auto"/>
        <w:jc w:val="both"/>
        <w:rPr>
          <w:rFonts w:ascii="Calibri" w:eastAsia="Calibri" w:hAnsi="Calibri" w:cs="Calibri"/>
          <w:b/>
          <w:sz w:val="34"/>
          <w:szCs w:val="34"/>
          <w:lang w:val="it-IT"/>
        </w:rPr>
      </w:pPr>
      <w:bookmarkStart w:id="13" w:name="_uyiylef3qvof" w:colFirst="0" w:colLast="0"/>
      <w:bookmarkEnd w:id="13"/>
      <w:r>
        <w:rPr>
          <w:rFonts w:ascii="Calibri" w:eastAsia="Calibri" w:hAnsi="Calibri" w:cs="Calibri"/>
          <w:b/>
          <w:sz w:val="34"/>
          <w:szCs w:val="34"/>
          <w:lang w:val="it-IT"/>
        </w:rPr>
        <w:t>8</w:t>
      </w:r>
      <w:r w:rsidR="00A4282B">
        <w:rPr>
          <w:rFonts w:ascii="Calibri" w:eastAsia="Calibri" w:hAnsi="Calibri" w:cs="Calibri"/>
          <w:b/>
          <w:sz w:val="34"/>
          <w:szCs w:val="34"/>
          <w:lang w:val="it-IT"/>
        </w:rPr>
        <w:t xml:space="preserve">.1 </w:t>
      </w:r>
      <w:r w:rsidR="008A1DDD" w:rsidRPr="008A1DDD">
        <w:rPr>
          <w:rFonts w:ascii="Calibri" w:eastAsia="Calibri" w:hAnsi="Calibri" w:cs="Calibri"/>
          <w:b/>
          <w:sz w:val="34"/>
          <w:szCs w:val="34"/>
          <w:lang w:val="it-IT"/>
        </w:rPr>
        <w:t>Struttura dei dati</w:t>
      </w:r>
    </w:p>
    <w:p w14:paraId="5F32B4B0" w14:textId="77777777" w:rsidR="007950A8" w:rsidRPr="008A1DDD" w:rsidRDefault="008A1DDD" w:rsidP="000E1F1D">
      <w:pPr>
        <w:jc w:val="both"/>
        <w:rPr>
          <w:lang w:val="it-IT"/>
        </w:rPr>
      </w:pPr>
      <w:r w:rsidRPr="008A1DDD">
        <w:rPr>
          <w:lang w:val="it-IT"/>
        </w:rPr>
        <w:t xml:space="preserve">Per raccogliere i dati sui costi delle APC, vengono utilizzati dei Set di dati prestabiliti sulla base della tipologia di documento oggetto della spesa. Al momento il rilevamento è circoscritto agli articoli in riviste e ai libri pubblicati in Open Access, mentre non sono inclusi i dati sulle spese per capitoli di libri o contributi in </w:t>
      </w:r>
      <w:proofErr w:type="spellStart"/>
      <w:r w:rsidRPr="008A1DDD">
        <w:rPr>
          <w:lang w:val="it-IT"/>
        </w:rPr>
        <w:t>proceedings</w:t>
      </w:r>
      <w:proofErr w:type="spellEnd"/>
      <w:r w:rsidRPr="008A1DDD">
        <w:rPr>
          <w:lang w:val="it-IT"/>
        </w:rPr>
        <w:t>.</w:t>
      </w:r>
    </w:p>
    <w:p w14:paraId="374AA293"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Le istituzioni che scelgono di partecipare al progetto devono inviare un file CSV contenente i dati che intendono presentare, strutturati in modo conforme allo schema corrispondente. Se un’istituzione desidera fornire dati sui costi di diverse tipologie di pubblicazione è necessario inviare tabelle diverse.</w:t>
      </w:r>
    </w:p>
    <w:p w14:paraId="454BA4B0" w14:textId="77777777" w:rsidR="007950A8" w:rsidRPr="008A1DDD" w:rsidRDefault="008A1DDD" w:rsidP="000E1F1D">
      <w:pPr>
        <w:pBdr>
          <w:top w:val="nil"/>
          <w:left w:val="nil"/>
          <w:bottom w:val="nil"/>
          <w:right w:val="nil"/>
          <w:between w:val="nil"/>
        </w:pBdr>
        <w:spacing w:before="120"/>
        <w:jc w:val="both"/>
        <w:rPr>
          <w:lang w:val="it-IT"/>
        </w:rPr>
      </w:pPr>
      <w:r w:rsidRPr="008A1DDD">
        <w:rPr>
          <w:lang w:val="it-IT"/>
        </w:rPr>
        <w:t xml:space="preserve">I set di dati prestabiliti sono visualizzabili nelle tre tabelle a seguire, derivate dal sito </w:t>
      </w:r>
      <w:proofErr w:type="spellStart"/>
      <w:r w:rsidRPr="008A1DDD">
        <w:rPr>
          <w:lang w:val="it-IT"/>
        </w:rPr>
        <w:t>OpenAPC</w:t>
      </w:r>
      <w:proofErr w:type="spellEnd"/>
      <w:r>
        <w:rPr>
          <w:vertAlign w:val="superscript"/>
        </w:rPr>
        <w:footnoteReference w:id="5"/>
      </w:r>
      <w:r w:rsidRPr="008A1DDD">
        <w:rPr>
          <w:lang w:val="it-IT"/>
        </w:rPr>
        <w:t>.</w:t>
      </w:r>
    </w:p>
    <w:p w14:paraId="01F9D220" w14:textId="77777777" w:rsidR="007950A8" w:rsidRPr="008A1DDD" w:rsidRDefault="008A1DDD" w:rsidP="000E1F1D">
      <w:pPr>
        <w:pBdr>
          <w:top w:val="nil"/>
          <w:left w:val="nil"/>
          <w:bottom w:val="nil"/>
          <w:right w:val="nil"/>
          <w:between w:val="nil"/>
        </w:pBdr>
        <w:spacing w:before="120"/>
        <w:jc w:val="both"/>
        <w:rPr>
          <w:rFonts w:ascii="Calibri" w:eastAsia="Calibri" w:hAnsi="Calibri" w:cs="Calibri"/>
          <w:sz w:val="24"/>
          <w:szCs w:val="24"/>
          <w:lang w:val="it-IT"/>
        </w:rPr>
      </w:pPr>
      <w:r w:rsidRPr="008A1DDD">
        <w:rPr>
          <w:lang w:val="it-IT"/>
        </w:rPr>
        <w:t>Ogni Set di dati prevede un certo numero di campi, funzionali alla descrizione di oggetti di natura diversa: 18 (APC), 13 (BPC) e 19 (TA).</w:t>
      </w:r>
    </w:p>
    <w:p w14:paraId="67FED576"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 xml:space="preserve">Tuttavia, per ogni Set, i campi obbligatori sono soltanto i primi </w:t>
      </w:r>
      <w:proofErr w:type="gramStart"/>
      <w:r w:rsidRPr="008A1DDD">
        <w:rPr>
          <w:lang w:val="it-IT"/>
        </w:rPr>
        <w:t>5</w:t>
      </w:r>
      <w:proofErr w:type="gramEnd"/>
      <w:r w:rsidRPr="008A1DDD">
        <w:rPr>
          <w:lang w:val="it-IT"/>
        </w:rPr>
        <w:t xml:space="preserve"> e devono essere comunicati dalle istituzioni.</w:t>
      </w:r>
    </w:p>
    <w:p w14:paraId="365006C8"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Sulla base dell’identificativo del documento (DOI) i rimanenti campi vengono derivati dalle già citate fonti, evidenziate nelle tabelle con colori diversi.</w:t>
      </w:r>
    </w:p>
    <w:p w14:paraId="3720FB40" w14:textId="77777777" w:rsidR="007950A8" w:rsidRPr="008A1DDD" w:rsidRDefault="008A1DDD" w:rsidP="000E1F1D">
      <w:pPr>
        <w:widowControl w:val="0"/>
        <w:spacing w:before="120"/>
        <w:jc w:val="both"/>
        <w:rPr>
          <w:rFonts w:ascii="Calibri" w:eastAsia="Calibri" w:hAnsi="Calibri" w:cs="Calibri"/>
          <w:sz w:val="24"/>
          <w:szCs w:val="24"/>
          <w:lang w:val="it-IT"/>
        </w:rPr>
      </w:pPr>
      <w:r w:rsidRPr="008A1DDD">
        <w:rPr>
          <w:lang w:val="it-IT"/>
        </w:rPr>
        <w:t>L’osservazione dei Set di dati consente di conoscere le informazioni di cui le istituzioni si devono dotare per poter aderire all’iniziativa</w:t>
      </w:r>
      <w:r w:rsidRPr="008A1DDD">
        <w:rPr>
          <w:rFonts w:ascii="Calibri" w:eastAsia="Calibri" w:hAnsi="Calibri" w:cs="Calibri"/>
          <w:sz w:val="24"/>
          <w:szCs w:val="24"/>
          <w:lang w:val="it-IT"/>
        </w:rPr>
        <w:t>.</w:t>
      </w:r>
    </w:p>
    <w:p w14:paraId="0753A2DD" w14:textId="77777777" w:rsidR="007950A8" w:rsidRPr="008A1DDD" w:rsidRDefault="007950A8">
      <w:pPr>
        <w:spacing w:line="240" w:lineRule="auto"/>
        <w:jc w:val="center"/>
        <w:rPr>
          <w:rFonts w:ascii="Calibri" w:eastAsia="Calibri" w:hAnsi="Calibri" w:cs="Calibri"/>
          <w:i/>
          <w:sz w:val="24"/>
          <w:szCs w:val="24"/>
          <w:lang w:val="it-IT"/>
        </w:rPr>
      </w:pPr>
    </w:p>
    <w:p w14:paraId="2E9BBF3E"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4BF565A" wp14:editId="0B6082EE">
            <wp:extent cx="5760645" cy="268645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60645" cy="2686455"/>
                    </a:xfrm>
                    <a:prstGeom prst="rect">
                      <a:avLst/>
                    </a:prstGeom>
                    <a:ln/>
                  </pic:spPr>
                </pic:pic>
              </a:graphicData>
            </a:graphic>
          </wp:inline>
        </w:drawing>
      </w:r>
    </w:p>
    <w:p w14:paraId="280487E4" w14:textId="77777777" w:rsidR="007950A8" w:rsidRPr="008A1DDD" w:rsidRDefault="008A1DDD">
      <w:pPr>
        <w:jc w:val="center"/>
        <w:rPr>
          <w:rFonts w:ascii="Calibri" w:eastAsia="Calibri" w:hAnsi="Calibri" w:cs="Calibri"/>
          <w:i/>
          <w:sz w:val="20"/>
          <w:szCs w:val="20"/>
          <w:lang w:val="it-IT"/>
        </w:rPr>
      </w:pPr>
      <w:r w:rsidRPr="00512A54">
        <w:rPr>
          <w:rFonts w:ascii="Calibri" w:eastAsia="Calibri" w:hAnsi="Calibri" w:cs="Calibri"/>
          <w:sz w:val="20"/>
          <w:szCs w:val="20"/>
          <w:lang w:val="it-IT"/>
        </w:rPr>
        <w:t xml:space="preserve"> </w:t>
      </w:r>
      <w:r w:rsidRPr="008A1DDD">
        <w:rPr>
          <w:rFonts w:ascii="Calibri" w:eastAsia="Calibri" w:hAnsi="Calibri" w:cs="Calibri"/>
          <w:i/>
          <w:sz w:val="20"/>
          <w:szCs w:val="20"/>
          <w:lang w:val="it-IT"/>
        </w:rPr>
        <w:t>Tab. 1 - Set di dati APC (articoli in rivista su base individuale)</w:t>
      </w:r>
    </w:p>
    <w:p w14:paraId="50DDEB8D" w14:textId="77777777" w:rsidR="007950A8" w:rsidRPr="008A1DDD" w:rsidRDefault="007950A8">
      <w:pPr>
        <w:jc w:val="center"/>
        <w:rPr>
          <w:rFonts w:ascii="Calibri" w:eastAsia="Calibri" w:hAnsi="Calibri" w:cs="Calibri"/>
          <w:i/>
          <w:sz w:val="24"/>
          <w:szCs w:val="24"/>
          <w:lang w:val="it-IT"/>
        </w:rPr>
      </w:pPr>
    </w:p>
    <w:p w14:paraId="6CA26320"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108B9BD6" wp14:editId="29E814A1">
            <wp:extent cx="5808473" cy="1866900"/>
            <wp:effectExtent l="0" t="0" r="1905"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809772" cy="1867318"/>
                    </a:xfrm>
                    <a:prstGeom prst="rect">
                      <a:avLst/>
                    </a:prstGeom>
                    <a:ln/>
                  </pic:spPr>
                </pic:pic>
              </a:graphicData>
            </a:graphic>
          </wp:inline>
        </w:drawing>
      </w:r>
    </w:p>
    <w:p w14:paraId="2CC1B9D6" w14:textId="77777777" w:rsidR="007950A8" w:rsidRPr="008A1DDD" w:rsidRDefault="008A1DDD">
      <w:pPr>
        <w:jc w:val="center"/>
        <w:rPr>
          <w:rFonts w:ascii="Calibri" w:eastAsia="Calibri" w:hAnsi="Calibri" w:cs="Calibri"/>
          <w:i/>
          <w:sz w:val="20"/>
          <w:szCs w:val="20"/>
          <w:lang w:val="it-IT"/>
        </w:rPr>
      </w:pPr>
      <w:r w:rsidRPr="008A1DDD">
        <w:rPr>
          <w:rFonts w:ascii="Calibri" w:eastAsia="Calibri" w:hAnsi="Calibri" w:cs="Calibri"/>
          <w:i/>
          <w:sz w:val="20"/>
          <w:szCs w:val="20"/>
          <w:lang w:val="it-IT"/>
        </w:rPr>
        <w:t>Tab. 2 - Set di dati BPC (libri su base individuale)</w:t>
      </w:r>
    </w:p>
    <w:p w14:paraId="1F032049" w14:textId="77777777" w:rsidR="007950A8" w:rsidRPr="008A1DDD" w:rsidRDefault="007950A8">
      <w:pPr>
        <w:spacing w:line="259" w:lineRule="auto"/>
        <w:jc w:val="center"/>
        <w:rPr>
          <w:rFonts w:ascii="Calibri" w:eastAsia="Calibri" w:hAnsi="Calibri" w:cs="Calibri"/>
          <w:i/>
          <w:sz w:val="24"/>
          <w:szCs w:val="24"/>
          <w:lang w:val="it-IT"/>
        </w:rPr>
      </w:pPr>
    </w:p>
    <w:p w14:paraId="55FA4651" w14:textId="77777777" w:rsidR="007950A8" w:rsidRDefault="008A1DDD">
      <w:pPr>
        <w:spacing w:line="259"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54F88AA0" wp14:editId="5DEAFDD4">
            <wp:extent cx="5880764" cy="241092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880764" cy="2410924"/>
                    </a:xfrm>
                    <a:prstGeom prst="rect">
                      <a:avLst/>
                    </a:prstGeom>
                    <a:ln/>
                  </pic:spPr>
                </pic:pic>
              </a:graphicData>
            </a:graphic>
          </wp:inline>
        </w:drawing>
      </w:r>
    </w:p>
    <w:p w14:paraId="7D687B4C" w14:textId="77777777" w:rsidR="007950A8" w:rsidRPr="008A1DDD" w:rsidRDefault="008A1DDD">
      <w:pPr>
        <w:pStyle w:val="Titolo2"/>
        <w:keepNext w:val="0"/>
        <w:keepLines w:val="0"/>
        <w:spacing w:before="0" w:after="0" w:line="240" w:lineRule="auto"/>
        <w:jc w:val="center"/>
        <w:rPr>
          <w:rFonts w:ascii="Calibri" w:eastAsia="Calibri" w:hAnsi="Calibri" w:cs="Calibri"/>
          <w:i/>
          <w:sz w:val="20"/>
          <w:szCs w:val="20"/>
          <w:lang w:val="it-IT"/>
        </w:rPr>
      </w:pPr>
      <w:bookmarkStart w:id="14" w:name="_brtqjgj5c891" w:colFirst="0" w:colLast="0"/>
      <w:bookmarkEnd w:id="14"/>
      <w:r w:rsidRPr="008A1DDD">
        <w:rPr>
          <w:rFonts w:ascii="Calibri" w:eastAsia="Calibri" w:hAnsi="Calibri" w:cs="Calibri"/>
          <w:i/>
          <w:sz w:val="20"/>
          <w:szCs w:val="20"/>
          <w:lang w:val="it-IT"/>
        </w:rPr>
        <w:t>Tab. 3 - Set di dati TA (articoli in riviste coperte da un accordo trasformativo)</w:t>
      </w:r>
    </w:p>
    <w:p w14:paraId="2C4F05B3" w14:textId="77777777" w:rsidR="007950A8" w:rsidRPr="008A1DDD" w:rsidRDefault="007950A8">
      <w:pPr>
        <w:rPr>
          <w:lang w:val="it-IT"/>
        </w:rPr>
      </w:pPr>
    </w:p>
    <w:p w14:paraId="6E9A7DDD" w14:textId="77777777" w:rsidR="007950A8" w:rsidRPr="008A1DDD" w:rsidRDefault="008A1DDD" w:rsidP="000E1F1D">
      <w:pPr>
        <w:jc w:val="both"/>
        <w:rPr>
          <w:lang w:val="it-IT"/>
        </w:rPr>
      </w:pPr>
      <w:r w:rsidRPr="008A1DDD">
        <w:rPr>
          <w:lang w:val="it-IT"/>
        </w:rPr>
        <w:t>Nei Set di dati per APC e BPC alcuni campi sono definiti backup perché, in assenza dell’identificatore univoco, il sistema non è in grado di derivare i dati dalle altre fonti. In questo caso le istituzioni dovranno farsi carico di reperire le informazioni richieste e inserirle in tabella.</w:t>
      </w:r>
    </w:p>
    <w:p w14:paraId="37DB7F52" w14:textId="7D18F225" w:rsidR="007950A8" w:rsidRPr="008A1DDD" w:rsidRDefault="009376AB">
      <w:pPr>
        <w:pStyle w:val="Titolo2"/>
        <w:keepNext w:val="0"/>
        <w:keepLines w:val="0"/>
        <w:spacing w:after="80" w:line="240" w:lineRule="auto"/>
        <w:jc w:val="both"/>
        <w:rPr>
          <w:rFonts w:ascii="Calibri" w:eastAsia="Calibri" w:hAnsi="Calibri" w:cs="Calibri"/>
          <w:sz w:val="24"/>
          <w:szCs w:val="24"/>
          <w:lang w:val="it-IT"/>
        </w:rPr>
      </w:pPr>
      <w:bookmarkStart w:id="15" w:name="_nwcikffq4945" w:colFirst="0" w:colLast="0"/>
      <w:bookmarkEnd w:id="15"/>
      <w:r>
        <w:rPr>
          <w:rFonts w:ascii="Calibri" w:eastAsia="Calibri" w:hAnsi="Calibri" w:cs="Calibri"/>
          <w:b/>
          <w:sz w:val="34"/>
          <w:szCs w:val="34"/>
          <w:lang w:val="it-IT"/>
        </w:rPr>
        <w:lastRenderedPageBreak/>
        <w:t>8</w:t>
      </w:r>
      <w:r w:rsidR="00A4282B">
        <w:rPr>
          <w:rFonts w:ascii="Calibri" w:eastAsia="Calibri" w:hAnsi="Calibri" w:cs="Calibri"/>
          <w:b/>
          <w:sz w:val="34"/>
          <w:szCs w:val="34"/>
          <w:lang w:val="it-IT"/>
        </w:rPr>
        <w:t xml:space="preserve">.2 </w:t>
      </w:r>
      <w:r w:rsidR="008A1DDD" w:rsidRPr="008A1DDD">
        <w:rPr>
          <w:rFonts w:ascii="Calibri" w:eastAsia="Calibri" w:hAnsi="Calibri" w:cs="Calibri"/>
          <w:b/>
          <w:sz w:val="34"/>
          <w:szCs w:val="34"/>
          <w:lang w:val="it-IT"/>
        </w:rPr>
        <w:t>Regole per documentare i costi</w:t>
      </w:r>
    </w:p>
    <w:p w14:paraId="7AB04653" w14:textId="77777777" w:rsidR="007950A8" w:rsidRPr="008A1DDD" w:rsidRDefault="008A1DDD" w:rsidP="000E1F1D">
      <w:pPr>
        <w:spacing w:before="120"/>
        <w:rPr>
          <w:lang w:val="it-IT"/>
        </w:rPr>
      </w:pPr>
      <w:r w:rsidRPr="008A1DDD">
        <w:rPr>
          <w:lang w:val="it-IT"/>
        </w:rPr>
        <w:t>In Open APC:</w:t>
      </w:r>
    </w:p>
    <w:p w14:paraId="5786E0AD" w14:textId="77777777" w:rsidR="007950A8" w:rsidRPr="008A1DDD" w:rsidRDefault="008A1DDD" w:rsidP="00E64FEB">
      <w:pPr>
        <w:numPr>
          <w:ilvl w:val="0"/>
          <w:numId w:val="9"/>
        </w:numPr>
        <w:jc w:val="both"/>
        <w:rPr>
          <w:rFonts w:ascii="Calibri" w:eastAsia="Calibri" w:hAnsi="Calibri" w:cs="Calibri"/>
          <w:sz w:val="24"/>
          <w:szCs w:val="24"/>
          <w:lang w:val="it-IT"/>
        </w:rPr>
      </w:pPr>
      <w:r w:rsidRPr="008A1DDD">
        <w:rPr>
          <w:lang w:val="it-IT"/>
        </w:rPr>
        <w:t>possono essere incluse solo le spese derivanti da una transazione diretta – pagamento diretto per una spesa OA (pagamenti dovuti per contratti a compensazione o tramite voucher sono esclusi);</w:t>
      </w:r>
    </w:p>
    <w:p w14:paraId="6C6636DE" w14:textId="77777777" w:rsidR="007950A8" w:rsidRPr="008A1DDD" w:rsidRDefault="008A1DDD" w:rsidP="00E64FEB">
      <w:pPr>
        <w:numPr>
          <w:ilvl w:val="0"/>
          <w:numId w:val="9"/>
        </w:numPr>
        <w:jc w:val="both"/>
        <w:rPr>
          <w:rFonts w:ascii="Calibri" w:eastAsia="Calibri" w:hAnsi="Calibri" w:cs="Calibri"/>
          <w:sz w:val="24"/>
          <w:szCs w:val="24"/>
          <w:lang w:val="it-IT"/>
        </w:rPr>
      </w:pPr>
      <w:r w:rsidRPr="008A1DDD">
        <w:rPr>
          <w:lang w:val="it-IT"/>
        </w:rPr>
        <w:t>il costo non può essere uguale a 0;</w:t>
      </w:r>
    </w:p>
    <w:p w14:paraId="2853E3AD" w14:textId="16BFA528"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la valuta consentita è l’euro - l’istituzione può provvedere direttamente alla conversione da altra valuta o lasciare a </w:t>
      </w:r>
      <w:proofErr w:type="spellStart"/>
      <w:r w:rsidRPr="008A1DDD">
        <w:rPr>
          <w:lang w:val="it-IT"/>
        </w:rPr>
        <w:t>OpenAPC</w:t>
      </w:r>
      <w:proofErr w:type="spellEnd"/>
      <w:r w:rsidRPr="008A1DDD">
        <w:rPr>
          <w:lang w:val="it-IT"/>
        </w:rPr>
        <w:t xml:space="preserve"> il compito di farlo, possibilmente fornendo la data esatta del pagamento</w:t>
      </w:r>
      <w:r w:rsidR="000E1F1D">
        <w:rPr>
          <w:lang w:val="it-IT"/>
        </w:rPr>
        <w:t xml:space="preserve">, nel formato </w:t>
      </w:r>
      <w:r w:rsidRPr="008A1DDD">
        <w:rPr>
          <w:lang w:val="it-IT"/>
        </w:rPr>
        <w:t>AAAA-MM-GG</w:t>
      </w:r>
      <w:r w:rsidR="000E1F1D">
        <w:rPr>
          <w:lang w:val="it-IT"/>
        </w:rPr>
        <w:t xml:space="preserve">, </w:t>
      </w:r>
      <w:r w:rsidRPr="008A1DDD">
        <w:rPr>
          <w:lang w:val="it-IT"/>
        </w:rPr>
        <w:t>in modo da consentire l’applicazione corretta dei tassi di cambio;</w:t>
      </w:r>
    </w:p>
    <w:p w14:paraId="35523598" w14:textId="593E6D04"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l'importo dei costi deve essere comprensivo di eventuali variazioni dovute a sconti </w:t>
      </w:r>
      <w:proofErr w:type="spellStart"/>
      <w:proofErr w:type="gramStart"/>
      <w:r w:rsidRPr="008A1DDD">
        <w:rPr>
          <w:lang w:val="it-IT"/>
        </w:rPr>
        <w:t>etc..I</w:t>
      </w:r>
      <w:proofErr w:type="spellEnd"/>
      <w:proofErr w:type="gramEnd"/>
      <w:r w:rsidRPr="008A1DDD">
        <w:rPr>
          <w:lang w:val="it-IT"/>
        </w:rPr>
        <w:t xml:space="preserve"> dettagli possono essere segnalati dalle istituzioni in un file </w:t>
      </w:r>
      <w:proofErr w:type="spellStart"/>
      <w:r w:rsidRPr="008A1DDD">
        <w:rPr>
          <w:lang w:val="it-IT"/>
        </w:rPr>
        <w:t>ReadMe</w:t>
      </w:r>
      <w:proofErr w:type="spellEnd"/>
      <w:r w:rsidRPr="008A1DDD">
        <w:rPr>
          <w:lang w:val="it-IT"/>
        </w:rPr>
        <w:t xml:space="preserve"> separato</w:t>
      </w:r>
      <w:r w:rsidR="000E1F1D">
        <w:rPr>
          <w:lang w:val="it-IT"/>
        </w:rPr>
        <w:t xml:space="preserve"> dal/i file .csv</w:t>
      </w:r>
      <w:r w:rsidRPr="008A1DDD">
        <w:rPr>
          <w:lang w:val="it-IT"/>
        </w:rPr>
        <w:t>;</w:t>
      </w:r>
    </w:p>
    <w:p w14:paraId="2DDEE894" w14:textId="2982BA73"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deve essere riferito soltanto l’importo relativo alla spesa per APC e nessun altro costo aggiuntiv</w:t>
      </w:r>
      <w:r w:rsidR="000E1F1D">
        <w:rPr>
          <w:lang w:val="it-IT"/>
        </w:rPr>
        <w:t>o</w:t>
      </w:r>
      <w:r w:rsidRPr="008A1DDD">
        <w:rPr>
          <w:lang w:val="it-IT"/>
        </w:rPr>
        <w:t>;</w:t>
      </w:r>
    </w:p>
    <w:p w14:paraId="5B8D3FDE" w14:textId="77777777"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se i costi di una pubblicazione sono condivisi tra più istituzioni, una sola tra le istituzioni deve riportare in </w:t>
      </w:r>
      <w:proofErr w:type="spellStart"/>
      <w:r w:rsidRPr="008A1DDD">
        <w:rPr>
          <w:lang w:val="it-IT"/>
        </w:rPr>
        <w:t>OpenAPC</w:t>
      </w:r>
      <w:proofErr w:type="spellEnd"/>
      <w:r w:rsidRPr="008A1DDD">
        <w:rPr>
          <w:lang w:val="it-IT"/>
        </w:rPr>
        <w:t xml:space="preserve"> l’intero costo.</w:t>
      </w:r>
    </w:p>
    <w:p w14:paraId="54D81A23" w14:textId="6100C111" w:rsidR="007950A8" w:rsidRPr="008A1DDD" w:rsidRDefault="008A1DDD">
      <w:pPr>
        <w:pStyle w:val="Titolo1"/>
        <w:rPr>
          <w:lang w:val="it-IT"/>
        </w:rPr>
      </w:pPr>
      <w:bookmarkStart w:id="16" w:name="_6fqf8norf18z" w:colFirst="0" w:colLast="0"/>
      <w:bookmarkEnd w:id="16"/>
      <w:r w:rsidRPr="008A1DDD">
        <w:rPr>
          <w:lang w:val="it-IT"/>
        </w:rPr>
        <w:t xml:space="preserve"> </w:t>
      </w:r>
      <w:r w:rsidR="009376AB">
        <w:rPr>
          <w:lang w:val="it-IT"/>
        </w:rPr>
        <w:t>9</w:t>
      </w:r>
      <w:r w:rsidRPr="008A1DDD">
        <w:rPr>
          <w:lang w:val="it-IT"/>
        </w:rPr>
        <w:t>. Conclusioni</w:t>
      </w:r>
    </w:p>
    <w:p w14:paraId="016F9F8A" w14:textId="77777777" w:rsidR="007950A8" w:rsidRPr="008A1DDD" w:rsidRDefault="008A1DDD">
      <w:pPr>
        <w:spacing w:line="240" w:lineRule="auto"/>
        <w:jc w:val="both"/>
        <w:rPr>
          <w:lang w:val="it-IT"/>
        </w:rPr>
      </w:pPr>
      <w:r w:rsidRPr="008A1DDD">
        <w:rPr>
          <w:lang w:val="it-IT"/>
        </w:rPr>
        <w:t>Il Piano nazionale per la scienza aperta motiva la raccomandazione di monitorare il mercato delle APC per garantire la sostenibilità dell’intero sistema di comunicazione scientifica aperta.</w:t>
      </w:r>
    </w:p>
    <w:p w14:paraId="3248170C" w14:textId="252D558F" w:rsidR="007950A8" w:rsidRPr="008A1DDD" w:rsidRDefault="008A1DDD">
      <w:pPr>
        <w:spacing w:before="120" w:line="240" w:lineRule="auto"/>
        <w:jc w:val="both"/>
        <w:rPr>
          <w:lang w:val="it-IT"/>
        </w:rPr>
      </w:pPr>
      <w:r w:rsidRPr="008A1DDD">
        <w:rPr>
          <w:lang w:val="it-IT"/>
        </w:rPr>
        <w:t xml:space="preserve">In questo periodo di transizione abbiamo assistito all’esplosione del mercato delle APC, ma in questo processo i principi caratterizzanti gli accordi trasformativi </w:t>
      </w:r>
      <w:r w:rsidR="00554E32">
        <w:rPr>
          <w:lang w:val="it-IT"/>
        </w:rPr>
        <w:t>non sempre sono stati osservati</w:t>
      </w:r>
      <w:r w:rsidRPr="008A1DDD">
        <w:rPr>
          <w:lang w:val="it-IT"/>
        </w:rPr>
        <w:t>.</w:t>
      </w:r>
    </w:p>
    <w:p w14:paraId="12A8FDC2" w14:textId="77777777" w:rsidR="007950A8" w:rsidRPr="008A1DDD" w:rsidRDefault="008A1DDD">
      <w:pPr>
        <w:spacing w:before="120" w:line="240" w:lineRule="auto"/>
        <w:jc w:val="both"/>
        <w:rPr>
          <w:lang w:val="it-IT"/>
        </w:rPr>
      </w:pPr>
      <w:r w:rsidRPr="008A1DDD">
        <w:rPr>
          <w:lang w:val="it-IT"/>
        </w:rPr>
        <w:t xml:space="preserve">La rapida affermazione del modello APC ha trovato terreno fertile nelle difficoltà delle istituzioni di affrontare in modo deciso il cambiamento e, per contro, nella capacità degli editori di plasmarlo, garantendosi ulteriori introiti economici e facendo leva sulle già citate criticità inerenti </w:t>
      </w:r>
      <w:proofErr w:type="gramStart"/>
      <w:r w:rsidRPr="008A1DDD">
        <w:rPr>
          <w:lang w:val="it-IT"/>
        </w:rPr>
        <w:t>i</w:t>
      </w:r>
      <w:proofErr w:type="gramEnd"/>
      <w:r w:rsidRPr="008A1DDD">
        <w:rPr>
          <w:lang w:val="it-IT"/>
        </w:rPr>
        <w:t xml:space="preserve"> sistemi di valutazione della ricerca e i meccanismi alla base delle progressioni di carriera, che impongono di pubblicare su riviste impattanti per raggiungere rapidamente i quartili più prestigiosi.</w:t>
      </w:r>
    </w:p>
    <w:p w14:paraId="781BA4A6" w14:textId="77777777" w:rsidR="007950A8" w:rsidRPr="008A1DDD" w:rsidRDefault="008A1DDD">
      <w:pPr>
        <w:spacing w:before="120" w:line="240" w:lineRule="auto"/>
        <w:jc w:val="both"/>
        <w:rPr>
          <w:lang w:val="it-IT"/>
        </w:rPr>
      </w:pPr>
      <w:r w:rsidRPr="008A1DDD">
        <w:rPr>
          <w:lang w:val="it-IT"/>
        </w:rPr>
        <w:t>Questo sistema genera però disparità e non risolve alcuni problemi di fondo.</w:t>
      </w:r>
    </w:p>
    <w:p w14:paraId="24F52E9A" w14:textId="5B9CF2AA" w:rsidR="007950A8" w:rsidRPr="008A1DDD" w:rsidRDefault="008A1DDD">
      <w:pPr>
        <w:spacing w:before="120" w:line="240" w:lineRule="auto"/>
        <w:jc w:val="both"/>
        <w:rPr>
          <w:lang w:val="it-IT"/>
        </w:rPr>
      </w:pPr>
      <w:r w:rsidRPr="008A1DDD">
        <w:rPr>
          <w:lang w:val="it-IT"/>
        </w:rPr>
        <w:t>Le stesse APC sono</w:t>
      </w:r>
      <w:r w:rsidR="00554E32">
        <w:rPr>
          <w:lang w:val="it-IT"/>
        </w:rPr>
        <w:t xml:space="preserve"> infatti</w:t>
      </w:r>
      <w:r w:rsidRPr="008A1DDD">
        <w:rPr>
          <w:lang w:val="it-IT"/>
        </w:rPr>
        <w:t xml:space="preserve"> imposte a tutti gli autori, senza alcuna distinzione che si basi sul contesto di provenienza e dunque sulla disponibilità finanziaria del paese di origine</w:t>
      </w:r>
      <w:r w:rsidR="00554E32">
        <w:rPr>
          <w:lang w:val="it-IT"/>
        </w:rPr>
        <w:t xml:space="preserve"> e un’altra disparità si ha tra </w:t>
      </w:r>
      <w:r w:rsidRPr="008A1DDD">
        <w:rPr>
          <w:lang w:val="it-IT"/>
        </w:rPr>
        <w:t xml:space="preserve">modelli editoriali commerciali e modelli editoriali no profit, in carico a istituzioni come atenei, singole università o enti di ricerca che non possono contare sugli stessi introiti degli editori </w:t>
      </w:r>
      <w:r w:rsidRPr="008A1DDD">
        <w:rPr>
          <w:i/>
          <w:lang w:val="it-IT"/>
        </w:rPr>
        <w:t>profit</w:t>
      </w:r>
      <w:r w:rsidRPr="008A1DDD">
        <w:rPr>
          <w:lang w:val="it-IT"/>
        </w:rPr>
        <w:t xml:space="preserve"> e hanno dunque minori possibilità economiche e mezzi a disposizione</w:t>
      </w:r>
      <w:r w:rsidR="00554E32">
        <w:rPr>
          <w:lang w:val="it-IT"/>
        </w:rPr>
        <w:t xml:space="preserve"> per la gestione dell’iter di pubblicazione.</w:t>
      </w:r>
    </w:p>
    <w:p w14:paraId="6D09824A" w14:textId="77777777" w:rsidR="007950A8" w:rsidRPr="008A1DDD" w:rsidRDefault="008A1DDD">
      <w:pPr>
        <w:spacing w:before="120" w:line="240" w:lineRule="auto"/>
        <w:jc w:val="both"/>
        <w:rPr>
          <w:lang w:val="it-IT"/>
        </w:rPr>
      </w:pPr>
      <w:r w:rsidRPr="008A1DDD">
        <w:rPr>
          <w:lang w:val="it-IT"/>
        </w:rPr>
        <w:t xml:space="preserve">Il </w:t>
      </w:r>
      <w:r w:rsidRPr="008A1DDD">
        <w:rPr>
          <w:i/>
          <w:lang w:val="it-IT"/>
        </w:rPr>
        <w:t xml:space="preserve">double </w:t>
      </w:r>
      <w:proofErr w:type="spellStart"/>
      <w:r w:rsidRPr="008A1DDD">
        <w:rPr>
          <w:i/>
          <w:lang w:val="it-IT"/>
        </w:rPr>
        <w:t>dipping</w:t>
      </w:r>
      <w:proofErr w:type="spellEnd"/>
      <w:r w:rsidRPr="008A1DDD">
        <w:rPr>
          <w:lang w:val="it-IT"/>
        </w:rPr>
        <w:t xml:space="preserve"> al momento permane, perché i contratti trasformativi si basano quasi esclusivamente su riviste ibride e non coprono tutte le pubblicazioni di un’istituzione.</w:t>
      </w:r>
    </w:p>
    <w:p w14:paraId="20D84181" w14:textId="77777777" w:rsidR="007950A8" w:rsidRPr="008A1DDD" w:rsidRDefault="007950A8">
      <w:pPr>
        <w:spacing w:line="240" w:lineRule="auto"/>
        <w:jc w:val="both"/>
        <w:rPr>
          <w:lang w:val="it-IT"/>
        </w:rPr>
      </w:pPr>
    </w:p>
    <w:p w14:paraId="2355A5A4" w14:textId="77777777" w:rsidR="007950A8" w:rsidRPr="008A1DDD" w:rsidRDefault="008A1DDD">
      <w:pPr>
        <w:spacing w:line="240" w:lineRule="auto"/>
        <w:jc w:val="both"/>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si fonda su quei principi di trasparenza e apertura richiesti dal </w:t>
      </w:r>
      <w:proofErr w:type="spellStart"/>
      <w:r w:rsidRPr="008A1DDD">
        <w:rPr>
          <w:i/>
          <w:lang w:val="it-IT"/>
        </w:rPr>
        <w:t>Final</w:t>
      </w:r>
      <w:proofErr w:type="spellEnd"/>
      <w:r w:rsidRPr="008A1DDD">
        <w:rPr>
          <w:i/>
          <w:lang w:val="it-IT"/>
        </w:rPr>
        <w:t xml:space="preserve"> Statement della Conferenza di Berlino</w:t>
      </w:r>
      <w:r w:rsidRPr="008A1DDD">
        <w:rPr>
          <w:lang w:val="it-IT"/>
        </w:rPr>
        <w:t xml:space="preserve"> e costituisce una buona opportunità per le istituzioni, che hanno la possibilità di entrare a far parte di un circuito integrato di informazione e conoscenza.</w:t>
      </w:r>
    </w:p>
    <w:p w14:paraId="27C04BC3" w14:textId="7B5B5D26" w:rsidR="007950A8" w:rsidRPr="008A1DDD" w:rsidRDefault="008A1DDD">
      <w:pPr>
        <w:spacing w:before="120" w:line="240" w:lineRule="auto"/>
        <w:jc w:val="both"/>
        <w:rPr>
          <w:lang w:val="it-IT"/>
        </w:rPr>
      </w:pPr>
      <w:r w:rsidRPr="008A1DDD">
        <w:rPr>
          <w:lang w:val="it-IT"/>
        </w:rPr>
        <w:t>Collaborazione e condivisione possono essere determinanti per rimuovere i difetti dei processi che regolano la comunicazione scientifica e che ad oggi non sono state del tutto scardinat</w:t>
      </w:r>
      <w:r w:rsidR="00E64FEB">
        <w:rPr>
          <w:lang w:val="it-IT"/>
        </w:rPr>
        <w:t>i</w:t>
      </w:r>
      <w:r w:rsidRPr="008A1DDD">
        <w:rPr>
          <w:lang w:val="it-IT"/>
        </w:rPr>
        <w:t>, evitando il rischio di assuefarsi a un modello di comunicazione che, sebbene diverso, continua a fondarsi su logiche sbagliate.</w:t>
      </w:r>
    </w:p>
    <w:p w14:paraId="172740BF" w14:textId="77777777" w:rsidR="007950A8" w:rsidRPr="008A1DDD" w:rsidRDefault="007950A8">
      <w:pPr>
        <w:spacing w:before="120" w:line="240" w:lineRule="auto"/>
        <w:jc w:val="both"/>
        <w:rPr>
          <w:lang w:val="it-IT"/>
        </w:rPr>
      </w:pPr>
    </w:p>
    <w:p w14:paraId="57EBAF1C" w14:textId="3C8E0E98" w:rsidR="007950A8" w:rsidRDefault="008A1DDD">
      <w:pPr>
        <w:pStyle w:val="Titolo1"/>
        <w:rPr>
          <w:lang w:val="it-IT"/>
        </w:rPr>
      </w:pPr>
      <w:bookmarkStart w:id="17" w:name="_261j47k8o3aw" w:colFirst="0" w:colLast="0"/>
      <w:bookmarkEnd w:id="17"/>
      <w:r w:rsidRPr="008A1DDD">
        <w:rPr>
          <w:lang w:val="it-IT"/>
        </w:rPr>
        <w:lastRenderedPageBreak/>
        <w:t>Bibliografia</w:t>
      </w:r>
    </w:p>
    <w:p w14:paraId="30D2B1AA" w14:textId="77777777" w:rsidR="005905AD" w:rsidRPr="005905AD" w:rsidRDefault="005905AD" w:rsidP="005905AD">
      <w:pPr>
        <w:rPr>
          <w:lang w:val="it-IT"/>
        </w:rPr>
      </w:pPr>
    </w:p>
    <w:p w14:paraId="07A9A934" w14:textId="51C29862" w:rsidR="007950A8" w:rsidRDefault="008A1DDD" w:rsidP="005905AD">
      <w:pPr>
        <w:pStyle w:val="Paragrafoelenco"/>
        <w:numPr>
          <w:ilvl w:val="0"/>
          <w:numId w:val="10"/>
        </w:numPr>
        <w:spacing w:line="360" w:lineRule="auto"/>
        <w:ind w:left="714" w:hanging="357"/>
        <w:rPr>
          <w:lang w:val="it-IT"/>
        </w:rPr>
      </w:pPr>
      <w:r w:rsidRPr="005905AD">
        <w:rPr>
          <w:lang w:val="it-IT"/>
        </w:rPr>
        <w:t>Programma Nazionale della Ricerca</w:t>
      </w:r>
      <w:r w:rsidR="00CF05BD" w:rsidRPr="005905AD">
        <w:rPr>
          <w:lang w:val="it-IT"/>
        </w:rPr>
        <w:t>,</w:t>
      </w:r>
      <w:r w:rsidRPr="005905AD">
        <w:rPr>
          <w:lang w:val="it-IT"/>
        </w:rPr>
        <w:t xml:space="preserve"> </w:t>
      </w:r>
      <w:hyperlink r:id="rId23" w:history="1">
        <w:r w:rsidR="005905AD" w:rsidRPr="00D941BA">
          <w:rPr>
            <w:rStyle w:val="Collegamentoipertestuale"/>
            <w:lang w:val="it-IT"/>
          </w:rPr>
          <w:t>https://www.mur.gov.it/it/aree-tematiche/ricerca/programmazione/programma-nazionale-la-ricerca</w:t>
        </w:r>
      </w:hyperlink>
    </w:p>
    <w:p w14:paraId="12CCF62D" w14:textId="2A604A0A" w:rsidR="007950A8" w:rsidRDefault="008A1DDD" w:rsidP="005905AD">
      <w:pPr>
        <w:pStyle w:val="Paragrafoelenco"/>
        <w:numPr>
          <w:ilvl w:val="0"/>
          <w:numId w:val="10"/>
        </w:numPr>
        <w:spacing w:line="360" w:lineRule="auto"/>
        <w:ind w:left="714" w:hanging="357"/>
        <w:rPr>
          <w:lang w:val="it-IT"/>
        </w:rPr>
      </w:pPr>
      <w:r w:rsidRPr="005905AD">
        <w:rPr>
          <w:lang w:val="it-IT"/>
        </w:rPr>
        <w:t>Piano Nazional</w:t>
      </w:r>
      <w:r w:rsidR="00CF05BD" w:rsidRPr="005905AD">
        <w:rPr>
          <w:lang w:val="it-IT"/>
        </w:rPr>
        <w:t>e</w:t>
      </w:r>
      <w:r w:rsidRPr="005905AD">
        <w:rPr>
          <w:lang w:val="it-IT"/>
        </w:rPr>
        <w:t xml:space="preserve"> Scienza Aperta</w:t>
      </w:r>
      <w:r w:rsidR="00CF05BD" w:rsidRPr="005905AD">
        <w:rPr>
          <w:lang w:val="it-IT"/>
        </w:rPr>
        <w:t>,</w:t>
      </w:r>
      <w:r w:rsidRPr="005905AD">
        <w:rPr>
          <w:lang w:val="it-IT"/>
        </w:rPr>
        <w:t xml:space="preserve"> </w:t>
      </w:r>
      <w:hyperlink r:id="rId24" w:history="1">
        <w:r w:rsidR="005905AD" w:rsidRPr="00D941BA">
          <w:rPr>
            <w:rStyle w:val="Collegamentoipertestuale"/>
            <w:lang w:val="it-IT"/>
          </w:rPr>
          <w:t>https://www.mur.gov.it/it/atti-e-normativa/decreto-ministeriale-n-268-del-28-02-2022</w:t>
        </w:r>
      </w:hyperlink>
    </w:p>
    <w:p w14:paraId="5C0CDE5C" w14:textId="08D9CFD1" w:rsidR="007950A8" w:rsidRDefault="008A1DDD" w:rsidP="005905AD">
      <w:pPr>
        <w:pStyle w:val="Paragrafoelenco"/>
        <w:numPr>
          <w:ilvl w:val="0"/>
          <w:numId w:val="10"/>
        </w:numPr>
        <w:spacing w:line="360" w:lineRule="auto"/>
        <w:ind w:left="714" w:hanging="357"/>
      </w:pPr>
      <w:r>
        <w:t>OA2020</w:t>
      </w:r>
      <w:r w:rsidR="00527065">
        <w:t>,</w:t>
      </w:r>
      <w:r>
        <w:t xml:space="preserve"> </w:t>
      </w:r>
      <w:hyperlink r:id="rId25" w:history="1">
        <w:r w:rsidR="005905AD" w:rsidRPr="00D941BA">
          <w:rPr>
            <w:rStyle w:val="Collegamentoipertestuale"/>
          </w:rPr>
          <w:t>https://oa2020.org/</w:t>
        </w:r>
      </w:hyperlink>
    </w:p>
    <w:p w14:paraId="74BB4A3B" w14:textId="7C81449E" w:rsidR="007950A8" w:rsidRDefault="008A1DDD" w:rsidP="005905AD">
      <w:pPr>
        <w:pStyle w:val="Paragrafoelenco"/>
        <w:numPr>
          <w:ilvl w:val="0"/>
          <w:numId w:val="10"/>
        </w:numPr>
        <w:spacing w:line="360" w:lineRule="auto"/>
        <w:ind w:left="714" w:hanging="357"/>
      </w:pPr>
      <w:proofErr w:type="spellStart"/>
      <w:r>
        <w:t>PlanS</w:t>
      </w:r>
      <w:proofErr w:type="spellEnd"/>
      <w:r w:rsidR="00527065">
        <w:t>,</w:t>
      </w:r>
      <w:r>
        <w:t xml:space="preserve"> </w:t>
      </w:r>
      <w:hyperlink r:id="rId26" w:history="1">
        <w:r w:rsidR="005905AD" w:rsidRPr="00D941BA">
          <w:rPr>
            <w:rStyle w:val="Collegamentoipertestuale"/>
          </w:rPr>
          <w:t>https://www.coalition-s.org/</w:t>
        </w:r>
      </w:hyperlink>
    </w:p>
    <w:p w14:paraId="6CD2E08D" w14:textId="0AC9B4E7" w:rsidR="005905AD" w:rsidRDefault="00527065" w:rsidP="005905AD">
      <w:pPr>
        <w:pStyle w:val="Paragrafoelenco"/>
        <w:numPr>
          <w:ilvl w:val="0"/>
          <w:numId w:val="10"/>
        </w:numPr>
        <w:spacing w:line="360" w:lineRule="auto"/>
        <w:ind w:left="714" w:hanging="357"/>
        <w:rPr>
          <w:lang w:val="en-US"/>
        </w:rPr>
      </w:pPr>
      <w:r w:rsidRPr="005905AD">
        <w:rPr>
          <w:lang w:val="en-US"/>
        </w:rPr>
        <w:t>Open Research Europe (</w:t>
      </w:r>
      <w:r w:rsidR="008A1DDD" w:rsidRPr="005905AD">
        <w:rPr>
          <w:lang w:val="en-US"/>
        </w:rPr>
        <w:t>ORE</w:t>
      </w:r>
      <w:r w:rsidRPr="005905AD">
        <w:rPr>
          <w:lang w:val="en-US"/>
        </w:rPr>
        <w:t>),</w:t>
      </w:r>
      <w:r w:rsidR="008A1DDD" w:rsidRPr="005905AD">
        <w:rPr>
          <w:lang w:val="en-US"/>
        </w:rPr>
        <w:t xml:space="preserve"> </w:t>
      </w:r>
      <w:hyperlink r:id="rId27" w:history="1">
        <w:r w:rsidR="005905AD" w:rsidRPr="00D941BA">
          <w:rPr>
            <w:rStyle w:val="Collegamentoipertestuale"/>
            <w:lang w:val="en-US"/>
          </w:rPr>
          <w:t>https://open-research-europe.ec.europa.eu/</w:t>
        </w:r>
      </w:hyperlink>
    </w:p>
    <w:p w14:paraId="5387EA22" w14:textId="74DE8542" w:rsidR="007950A8" w:rsidRDefault="008A1DDD" w:rsidP="005905AD">
      <w:pPr>
        <w:pStyle w:val="Paragrafoelenco"/>
        <w:numPr>
          <w:ilvl w:val="0"/>
          <w:numId w:val="10"/>
        </w:numPr>
        <w:spacing w:line="360" w:lineRule="auto"/>
        <w:ind w:left="714" w:hanging="357"/>
      </w:pPr>
      <w:r>
        <w:t>Subscribe2Open</w:t>
      </w:r>
      <w:r w:rsidR="00527065">
        <w:t xml:space="preserve">, </w:t>
      </w:r>
      <w:hyperlink r:id="rId28" w:history="1">
        <w:r w:rsidR="00CF05BD" w:rsidRPr="00D941BA">
          <w:rPr>
            <w:rStyle w:val="Collegamentoipertestuale"/>
          </w:rPr>
          <w:t>https://subscribetoopencommunity.org/</w:t>
        </w:r>
      </w:hyperlink>
    </w:p>
    <w:p w14:paraId="3DCCEB80" w14:textId="77777777" w:rsidR="005905AD" w:rsidRDefault="00CF05BD" w:rsidP="005905AD">
      <w:pPr>
        <w:pStyle w:val="Paragrafoelenco"/>
        <w:numPr>
          <w:ilvl w:val="0"/>
          <w:numId w:val="10"/>
        </w:numPr>
        <w:spacing w:line="360" w:lineRule="auto"/>
        <w:ind w:left="714" w:hanging="357"/>
      </w:pPr>
      <w:proofErr w:type="spellStart"/>
      <w:r>
        <w:t>OpenAPC</w:t>
      </w:r>
      <w:proofErr w:type="spellEnd"/>
      <w:r>
        <w:t xml:space="preserve">, </w:t>
      </w:r>
      <w:hyperlink r:id="rId29" w:history="1">
        <w:r w:rsidRPr="00D941BA">
          <w:rPr>
            <w:rStyle w:val="Collegamentoipertestuale"/>
          </w:rPr>
          <w:t>https://openapc.net/</w:t>
        </w:r>
      </w:hyperlink>
    </w:p>
    <w:p w14:paraId="17CF9287" w14:textId="06082874" w:rsidR="005905AD" w:rsidRPr="005905AD" w:rsidRDefault="005905AD" w:rsidP="005905AD">
      <w:pPr>
        <w:pStyle w:val="Paragrafoelenco"/>
        <w:numPr>
          <w:ilvl w:val="0"/>
          <w:numId w:val="10"/>
        </w:numPr>
        <w:spacing w:line="240" w:lineRule="auto"/>
        <w:ind w:left="714" w:hanging="357"/>
      </w:pPr>
      <w:proofErr w:type="spellStart"/>
      <w:r w:rsidRPr="005905AD">
        <w:t>Abadal</w:t>
      </w:r>
      <w:proofErr w:type="spellEnd"/>
      <w:r w:rsidRPr="005905AD">
        <w:t xml:space="preserve"> E., </w:t>
      </w:r>
      <w:r w:rsidRPr="005905AD">
        <w:rPr>
          <w:i/>
          <w:iCs/>
          <w:lang w:val="en-US"/>
        </w:rPr>
        <w:t>Distortions caused by the payment of APCs to scholarly journals</w:t>
      </w:r>
      <w:r w:rsidRPr="005905AD">
        <w:rPr>
          <w:lang w:val="en-US"/>
        </w:rPr>
        <w:t xml:space="preserve">. </w:t>
      </w:r>
      <w:r w:rsidRPr="005905AD">
        <w:rPr>
          <w:i/>
          <w:iCs/>
          <w:lang w:val="en-US"/>
        </w:rPr>
        <w:t xml:space="preserve">Lectio </w:t>
      </w:r>
      <w:proofErr w:type="spellStart"/>
      <w:r w:rsidRPr="005905AD">
        <w:rPr>
          <w:i/>
          <w:iCs/>
          <w:lang w:val="en-US"/>
        </w:rPr>
        <w:t>magistralis</w:t>
      </w:r>
      <w:proofErr w:type="spellEnd"/>
      <w:r w:rsidRPr="005905AD">
        <w:rPr>
          <w:i/>
          <w:iCs/>
          <w:lang w:val="en-US"/>
        </w:rPr>
        <w:t xml:space="preserve"> </w:t>
      </w:r>
      <w:r w:rsidRPr="005905AD">
        <w:rPr>
          <w:lang w:val="en-US"/>
        </w:rPr>
        <w:t xml:space="preserve">in Library Science, Florence University 1st March 2022, </w:t>
      </w:r>
      <w:hyperlink r:id="rId30" w:history="1">
        <w:r w:rsidRPr="00D941BA">
          <w:rPr>
            <w:rStyle w:val="Collegamentoipertestuale"/>
            <w:lang w:val="en-US"/>
          </w:rPr>
          <w:t>https://www.torrossa.com/it/resources/an/5148484</w:t>
        </w:r>
      </w:hyperlink>
      <w:r>
        <w:rPr>
          <w:lang w:val="en-US"/>
        </w:rPr>
        <w:t>.</w:t>
      </w:r>
    </w:p>
    <w:p w14:paraId="096ABE6C" w14:textId="77777777" w:rsidR="005905AD" w:rsidRPr="005905AD" w:rsidRDefault="005905AD" w:rsidP="005905AD">
      <w:pPr>
        <w:pStyle w:val="Paragrafoelenco"/>
        <w:spacing w:line="240" w:lineRule="auto"/>
        <w:ind w:left="714"/>
      </w:pPr>
    </w:p>
    <w:p w14:paraId="5B34324D" w14:textId="77777777" w:rsidR="00CF05BD" w:rsidRPr="005905AD" w:rsidRDefault="00CF05BD">
      <w:pPr>
        <w:rPr>
          <w:lang w:val="en-US"/>
        </w:rPr>
      </w:pPr>
    </w:p>
    <w:p w14:paraId="202DF46B" w14:textId="00246104" w:rsidR="007950A8" w:rsidRPr="005905AD" w:rsidRDefault="007950A8">
      <w:pPr>
        <w:rPr>
          <w:lang w:val="en-US"/>
        </w:rPr>
      </w:pPr>
    </w:p>
    <w:p w14:paraId="1E066D16" w14:textId="77777777" w:rsidR="007950A8" w:rsidRPr="005905AD" w:rsidRDefault="008A1DDD">
      <w:pPr>
        <w:rPr>
          <w:lang w:val="en-US"/>
        </w:rPr>
      </w:pPr>
      <w:r w:rsidRPr="005905AD">
        <w:rPr>
          <w:lang w:val="en-US"/>
        </w:rPr>
        <w:t xml:space="preserve"> </w:t>
      </w:r>
    </w:p>
    <w:p w14:paraId="7793B204" w14:textId="77777777" w:rsidR="007950A8" w:rsidRPr="005905AD" w:rsidRDefault="007950A8">
      <w:pPr>
        <w:rPr>
          <w:lang w:val="en-US"/>
        </w:rPr>
      </w:pPr>
    </w:p>
    <w:p w14:paraId="7821392A" w14:textId="77777777" w:rsidR="007950A8" w:rsidRPr="005905AD" w:rsidRDefault="007950A8">
      <w:pPr>
        <w:rPr>
          <w:lang w:val="en-US"/>
        </w:rPr>
      </w:pPr>
    </w:p>
    <w:p w14:paraId="2D9AE7E3" w14:textId="77777777" w:rsidR="007950A8" w:rsidRPr="005905AD" w:rsidRDefault="007950A8">
      <w:pPr>
        <w:rPr>
          <w:lang w:val="en-US"/>
        </w:rPr>
      </w:pPr>
    </w:p>
    <w:p w14:paraId="2ABEAB09" w14:textId="77777777" w:rsidR="007950A8" w:rsidRPr="005905AD" w:rsidRDefault="007950A8">
      <w:pPr>
        <w:rPr>
          <w:lang w:val="en-US"/>
        </w:rPr>
      </w:pPr>
    </w:p>
    <w:sectPr w:rsidR="007950A8" w:rsidRPr="005905AD" w:rsidSect="00CF05BD">
      <w:headerReference w:type="default" r:id="rId31"/>
      <w:footerReference w:type="default" r:id="rId32"/>
      <w:pgSz w:w="11906" w:h="16838"/>
      <w:pgMar w:top="1440" w:right="1080" w:bottom="144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9AE4B" w14:textId="77777777" w:rsidR="00B14882" w:rsidRDefault="008A1DDD">
      <w:pPr>
        <w:spacing w:line="240" w:lineRule="auto"/>
      </w:pPr>
      <w:r>
        <w:separator/>
      </w:r>
    </w:p>
  </w:endnote>
  <w:endnote w:type="continuationSeparator" w:id="0">
    <w:p w14:paraId="28F7F9A4" w14:textId="77777777" w:rsidR="00B14882" w:rsidRDefault="008A1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7787" w14:textId="77777777" w:rsidR="007950A8" w:rsidRDefault="008A1DD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67FD9" w14:textId="77777777" w:rsidR="00B14882" w:rsidRDefault="008A1DDD">
      <w:pPr>
        <w:spacing w:line="240" w:lineRule="auto"/>
      </w:pPr>
      <w:r>
        <w:separator/>
      </w:r>
    </w:p>
  </w:footnote>
  <w:footnote w:type="continuationSeparator" w:id="0">
    <w:p w14:paraId="640E608A" w14:textId="77777777" w:rsidR="00B14882" w:rsidRDefault="008A1DDD">
      <w:pPr>
        <w:spacing w:line="240" w:lineRule="auto"/>
      </w:pPr>
      <w:r>
        <w:continuationSeparator/>
      </w:r>
    </w:p>
  </w:footnote>
  <w:footnote w:id="1">
    <w:p w14:paraId="124548F1" w14:textId="6B679B1B" w:rsidR="00480915" w:rsidRPr="00480915" w:rsidRDefault="00480915" w:rsidP="0001681C">
      <w:pPr>
        <w:pStyle w:val="Testonotaapidipagina"/>
        <w:jc w:val="both"/>
        <w:rPr>
          <w:lang w:val="it-IT"/>
        </w:rPr>
      </w:pPr>
      <w:r w:rsidRPr="00480915">
        <w:rPr>
          <w:rStyle w:val="Rimandonotaapidipagina"/>
          <w:sz w:val="18"/>
          <w:szCs w:val="18"/>
        </w:rPr>
        <w:footnoteRef/>
      </w:r>
      <w:r w:rsidRPr="00480915">
        <w:rPr>
          <w:sz w:val="18"/>
          <w:szCs w:val="18"/>
          <w:lang w:val="it-IT"/>
        </w:rPr>
        <w:t xml:space="preserve"> Cfr. Silvana Mangiaracina, Cristina Morroni. (2018, </w:t>
      </w:r>
      <w:proofErr w:type="spellStart"/>
      <w:r w:rsidRPr="00480915">
        <w:rPr>
          <w:sz w:val="18"/>
          <w:szCs w:val="18"/>
          <w:lang w:val="it-IT"/>
        </w:rPr>
        <w:t>May</w:t>
      </w:r>
      <w:proofErr w:type="spellEnd"/>
      <w:r w:rsidRPr="00480915">
        <w:rPr>
          <w:sz w:val="18"/>
          <w:szCs w:val="18"/>
          <w:lang w:val="it-IT"/>
        </w:rPr>
        <w:t xml:space="preserve"> 15). </w:t>
      </w:r>
      <w:r w:rsidRPr="00480915">
        <w:rPr>
          <w:i/>
          <w:iCs/>
          <w:sz w:val="18"/>
          <w:szCs w:val="18"/>
          <w:lang w:val="it-IT"/>
        </w:rPr>
        <w:t>Quanto costa l'accesso alle pubblicazioni scientifiche nell'era dell'Open Access? Una prima analisi delle pubblicazioni nel CNR</w:t>
      </w:r>
      <w:r w:rsidRPr="00480915">
        <w:rPr>
          <w:sz w:val="18"/>
          <w:szCs w:val="18"/>
          <w:lang w:val="it-IT"/>
        </w:rPr>
        <w:t xml:space="preserve">. </w:t>
      </w:r>
      <w:proofErr w:type="spellStart"/>
      <w:r w:rsidRPr="00480915">
        <w:rPr>
          <w:sz w:val="18"/>
          <w:szCs w:val="18"/>
          <w:lang w:val="it-IT"/>
        </w:rPr>
        <w:t>Zenodo</w:t>
      </w:r>
      <w:proofErr w:type="spellEnd"/>
      <w:r w:rsidRPr="00480915">
        <w:rPr>
          <w:sz w:val="18"/>
          <w:szCs w:val="18"/>
          <w:lang w:val="it-IT"/>
        </w:rPr>
        <w:t>. http://doi.org/10.5281/zenodo.1247497.</w:t>
      </w:r>
    </w:p>
  </w:footnote>
  <w:footnote w:id="2">
    <w:p w14:paraId="71F072CC" w14:textId="0EE23746" w:rsidR="004D5F39" w:rsidRPr="004D5F39" w:rsidRDefault="004D5F39">
      <w:pPr>
        <w:pStyle w:val="Testonotaapidipagina"/>
        <w:rPr>
          <w:lang w:val="it-IT"/>
        </w:rPr>
      </w:pPr>
      <w:r>
        <w:rPr>
          <w:rStyle w:val="Rimandonotaapidipagina"/>
        </w:rPr>
        <w:footnoteRef/>
      </w:r>
      <w:r w:rsidRPr="004D5F39">
        <w:rPr>
          <w:lang w:val="it-IT"/>
        </w:rPr>
        <w:t xml:space="preserve"> </w:t>
      </w:r>
      <w:hyperlink r:id="rId1">
        <w:r w:rsidRPr="004D5F39">
          <w:rPr>
            <w:rFonts w:ascii="Calibri" w:eastAsia="Calibri" w:hAnsi="Calibri" w:cs="Calibri"/>
            <w:color w:val="0563C1"/>
            <w:sz w:val="18"/>
            <w:szCs w:val="18"/>
            <w:u w:val="single"/>
            <w:lang w:val="it-IT"/>
          </w:rPr>
          <w:t>https://www.mur.gov.it/sites/default/files/2022-06/Piano_Nazionale_per_la_Scienza_Aperta.pdf</w:t>
        </w:r>
      </w:hyperlink>
      <w:r w:rsidRPr="004D5F39">
        <w:rPr>
          <w:rFonts w:ascii="Calibri" w:eastAsia="Calibri" w:hAnsi="Calibri" w:cs="Calibri"/>
          <w:color w:val="0563C1"/>
          <w:sz w:val="18"/>
          <w:szCs w:val="18"/>
          <w:u w:val="single"/>
          <w:lang w:val="it-IT"/>
        </w:rPr>
        <w:t>.</w:t>
      </w:r>
    </w:p>
  </w:footnote>
  <w:footnote w:id="3">
    <w:p w14:paraId="6E22A316" w14:textId="77777777" w:rsidR="007950A8" w:rsidRPr="00512A54" w:rsidRDefault="008A1DDD">
      <w:pPr>
        <w:spacing w:line="240" w:lineRule="auto"/>
        <w:rPr>
          <w:rFonts w:ascii="Calibri" w:eastAsia="Calibri" w:hAnsi="Calibri" w:cs="Calibri"/>
          <w:sz w:val="20"/>
          <w:szCs w:val="20"/>
          <w:lang w:val="it-IT"/>
        </w:rPr>
      </w:pPr>
      <w:r>
        <w:rPr>
          <w:vertAlign w:val="superscript"/>
        </w:rPr>
        <w:footnoteRef/>
      </w:r>
      <w:r w:rsidRPr="00512A54">
        <w:rPr>
          <w:rFonts w:ascii="Calibri" w:eastAsia="Calibri" w:hAnsi="Calibri" w:cs="Calibri"/>
          <w:sz w:val="18"/>
          <w:szCs w:val="18"/>
          <w:lang w:val="it-IT"/>
        </w:rPr>
        <w:t xml:space="preserve"> </w:t>
      </w:r>
      <w:r w:rsidR="009376AB">
        <w:fldChar w:fldCharType="begin"/>
      </w:r>
      <w:r w:rsidR="009376AB" w:rsidRPr="001579BA">
        <w:rPr>
          <w:lang w:val="it-IT"/>
        </w:rPr>
        <w:instrText xml:space="preserve"> HYPERLINK "https://openapc.net/" \h </w:instrText>
      </w:r>
      <w:r w:rsidR="009376AB">
        <w:fldChar w:fldCharType="separate"/>
      </w:r>
      <w:r w:rsidRPr="00512A54">
        <w:rPr>
          <w:rFonts w:ascii="Calibri" w:eastAsia="Calibri" w:hAnsi="Calibri" w:cs="Calibri"/>
          <w:color w:val="0563C1"/>
          <w:sz w:val="18"/>
          <w:szCs w:val="18"/>
          <w:u w:val="single"/>
          <w:lang w:val="it-IT"/>
        </w:rPr>
        <w:t>https://openapc.net/</w:t>
      </w:r>
      <w:r w:rsidR="009376AB">
        <w:rPr>
          <w:rFonts w:ascii="Calibri" w:eastAsia="Calibri" w:hAnsi="Calibri" w:cs="Calibri"/>
          <w:color w:val="0563C1"/>
          <w:sz w:val="18"/>
          <w:szCs w:val="18"/>
          <w:u w:val="single"/>
          <w:lang w:val="it-IT"/>
        </w:rPr>
        <w:fldChar w:fldCharType="end"/>
      </w:r>
    </w:p>
  </w:footnote>
  <w:footnote w:id="4">
    <w:p w14:paraId="41D76E24" w14:textId="77777777" w:rsidR="007950A8" w:rsidRPr="000E1F1D" w:rsidRDefault="008A1DDD" w:rsidP="000E1F1D">
      <w:pPr>
        <w:spacing w:line="240" w:lineRule="auto"/>
        <w:jc w:val="both"/>
        <w:rPr>
          <w:rFonts w:eastAsia="Calibri"/>
          <w:sz w:val="18"/>
          <w:szCs w:val="18"/>
          <w:lang w:val="it-IT"/>
        </w:rPr>
      </w:pPr>
      <w:r w:rsidRPr="000E1F1D">
        <w:rPr>
          <w:sz w:val="18"/>
          <w:szCs w:val="18"/>
          <w:vertAlign w:val="superscript"/>
        </w:rPr>
        <w:footnoteRef/>
      </w:r>
      <w:r w:rsidRPr="000E1F1D">
        <w:rPr>
          <w:rFonts w:eastAsia="Calibri"/>
          <w:sz w:val="18"/>
          <w:szCs w:val="18"/>
          <w:lang w:val="it-IT"/>
        </w:rPr>
        <w:t xml:space="preserve"> Il flusso di lavoro può anche essere concordato con i referenti del progetto per cui, se l’istituzione comunica i parametri pertinenti, </w:t>
      </w:r>
      <w:proofErr w:type="spellStart"/>
      <w:r w:rsidRPr="000E1F1D">
        <w:rPr>
          <w:rFonts w:eastAsia="Calibri"/>
          <w:sz w:val="18"/>
          <w:szCs w:val="18"/>
          <w:lang w:val="it-IT"/>
        </w:rPr>
        <w:t>OpenAPC</w:t>
      </w:r>
      <w:proofErr w:type="spellEnd"/>
      <w:r w:rsidRPr="000E1F1D">
        <w:rPr>
          <w:rFonts w:eastAsia="Calibri"/>
          <w:sz w:val="18"/>
          <w:szCs w:val="18"/>
          <w:lang w:val="it-IT"/>
        </w:rPr>
        <w:t xml:space="preserve"> può raccogliere i metadati automaticamente tramite il protocollo OAI-PMH.</w:t>
      </w:r>
    </w:p>
  </w:footnote>
  <w:footnote w:id="5">
    <w:p w14:paraId="00A92B55" w14:textId="77777777" w:rsidR="007950A8" w:rsidRPr="00512A54" w:rsidRDefault="008A1DDD" w:rsidP="000E1F1D">
      <w:pPr>
        <w:spacing w:line="240" w:lineRule="auto"/>
        <w:jc w:val="both"/>
        <w:rPr>
          <w:rFonts w:ascii="Calibri" w:eastAsia="Calibri" w:hAnsi="Calibri" w:cs="Calibri"/>
          <w:sz w:val="20"/>
          <w:szCs w:val="20"/>
          <w:lang w:val="it-IT"/>
        </w:rPr>
      </w:pPr>
      <w:r w:rsidRPr="000E1F1D">
        <w:rPr>
          <w:sz w:val="18"/>
          <w:szCs w:val="18"/>
          <w:vertAlign w:val="superscript"/>
        </w:rPr>
        <w:footnoteRef/>
      </w:r>
      <w:r w:rsidRPr="000E1F1D">
        <w:rPr>
          <w:rFonts w:eastAsia="Calibri"/>
          <w:sz w:val="18"/>
          <w:szCs w:val="18"/>
          <w:lang w:val="it-IT"/>
        </w:rPr>
        <w:t xml:space="preserve"> </w:t>
      </w:r>
      <w:hyperlink r:id="rId2" w:anchor="openapc-data-set">
        <w:r w:rsidRPr="000E1F1D">
          <w:rPr>
            <w:rFonts w:eastAsia="Calibri"/>
            <w:color w:val="1155CC"/>
            <w:sz w:val="18"/>
            <w:szCs w:val="18"/>
            <w:u w:val="single"/>
            <w:lang w:val="it-IT"/>
          </w:rPr>
          <w:t>https://github.com/OpenAPC/openapc-de/wiki/schema#openapc-data-set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B85F" w14:textId="77777777" w:rsidR="007950A8" w:rsidRDefault="009376AB">
    <w:r>
      <w:pict w14:anchorId="7AF99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66.3pt;height:195.35pt;rotation:315;z-index:-251658752;mso-position-horizontal:center;mso-position-horizontal-relative:margin;mso-position-vertical:center;mso-position-vertical-relative:margin" fillcolor="#e8eaed" stroked="f">
          <v:textpath style="font-family:&quot;&amp;quot&quot;;font-size:1pt" string="BOZZ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D6B"/>
    <w:multiLevelType w:val="multilevel"/>
    <w:tmpl w:val="527E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23602"/>
    <w:multiLevelType w:val="multilevel"/>
    <w:tmpl w:val="47B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6729CE"/>
    <w:multiLevelType w:val="multilevel"/>
    <w:tmpl w:val="DA1E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57FDD"/>
    <w:multiLevelType w:val="multilevel"/>
    <w:tmpl w:val="11CC2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84026D"/>
    <w:multiLevelType w:val="multilevel"/>
    <w:tmpl w:val="7F70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2F65E1"/>
    <w:multiLevelType w:val="hybridMultilevel"/>
    <w:tmpl w:val="56AEE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481D9E"/>
    <w:multiLevelType w:val="multilevel"/>
    <w:tmpl w:val="FF1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FD56E7"/>
    <w:multiLevelType w:val="multilevel"/>
    <w:tmpl w:val="30A4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36310D"/>
    <w:multiLevelType w:val="hybridMultilevel"/>
    <w:tmpl w:val="815C31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4E344F"/>
    <w:multiLevelType w:val="multilevel"/>
    <w:tmpl w:val="DF44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7C6458"/>
    <w:multiLevelType w:val="hybridMultilevel"/>
    <w:tmpl w:val="815C3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96A24D1"/>
    <w:multiLevelType w:val="multilevel"/>
    <w:tmpl w:val="46BA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6D6A5D"/>
    <w:multiLevelType w:val="hybridMultilevel"/>
    <w:tmpl w:val="93606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
  </w:num>
  <w:num w:numId="6">
    <w:abstractNumId w:val="6"/>
  </w:num>
  <w:num w:numId="7">
    <w:abstractNumId w:val="9"/>
  </w:num>
  <w:num w:numId="8">
    <w:abstractNumId w:val="11"/>
  </w:num>
  <w:num w:numId="9">
    <w:abstractNumId w:val="2"/>
  </w:num>
  <w:num w:numId="10">
    <w:abstractNumId w:val="10"/>
  </w:num>
  <w:num w:numId="11">
    <w:abstractNumId w:val="8"/>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0A8"/>
    <w:rsid w:val="0001681C"/>
    <w:rsid w:val="000E1F1D"/>
    <w:rsid w:val="001579BA"/>
    <w:rsid w:val="001D6B2F"/>
    <w:rsid w:val="00223301"/>
    <w:rsid w:val="00264195"/>
    <w:rsid w:val="00417CDE"/>
    <w:rsid w:val="0042762D"/>
    <w:rsid w:val="0047136D"/>
    <w:rsid w:val="00480915"/>
    <w:rsid w:val="004D5F39"/>
    <w:rsid w:val="00512A54"/>
    <w:rsid w:val="00527065"/>
    <w:rsid w:val="00554E32"/>
    <w:rsid w:val="005905AD"/>
    <w:rsid w:val="00694B0D"/>
    <w:rsid w:val="006A0912"/>
    <w:rsid w:val="006E2C6A"/>
    <w:rsid w:val="00794F71"/>
    <w:rsid w:val="007950A8"/>
    <w:rsid w:val="007C08FB"/>
    <w:rsid w:val="00813080"/>
    <w:rsid w:val="008A1DDD"/>
    <w:rsid w:val="008B60FD"/>
    <w:rsid w:val="008C4960"/>
    <w:rsid w:val="008C7535"/>
    <w:rsid w:val="00907BE4"/>
    <w:rsid w:val="009376AB"/>
    <w:rsid w:val="00953F40"/>
    <w:rsid w:val="00994CCA"/>
    <w:rsid w:val="009E7EAC"/>
    <w:rsid w:val="00A4282B"/>
    <w:rsid w:val="00AC7207"/>
    <w:rsid w:val="00AF285C"/>
    <w:rsid w:val="00B14882"/>
    <w:rsid w:val="00B93005"/>
    <w:rsid w:val="00C52EE7"/>
    <w:rsid w:val="00C64095"/>
    <w:rsid w:val="00CA5D9C"/>
    <w:rsid w:val="00CF05BD"/>
    <w:rsid w:val="00D119E1"/>
    <w:rsid w:val="00DC6518"/>
    <w:rsid w:val="00DC7AD3"/>
    <w:rsid w:val="00E51AA5"/>
    <w:rsid w:val="00E53929"/>
    <w:rsid w:val="00E64FEB"/>
    <w:rsid w:val="00E92BC9"/>
    <w:rsid w:val="00F177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5BCDDB"/>
  <w15:docId w15:val="{ED52AE5B-30C0-40F5-9EFC-D90152A3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pPr>
      <w:keepNext/>
      <w:keepLines/>
      <w:spacing w:after="60"/>
    </w:pPr>
    <w:rPr>
      <w:sz w:val="52"/>
      <w:szCs w:val="52"/>
    </w:rPr>
  </w:style>
  <w:style w:type="paragraph" w:styleId="Sottotitolo">
    <w:name w:val="Subtitle"/>
    <w:basedOn w:val="Normale"/>
    <w:next w:val="Normale"/>
    <w:link w:val="SottotitoloCaratter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480915"/>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80915"/>
    <w:rPr>
      <w:sz w:val="20"/>
      <w:szCs w:val="20"/>
    </w:rPr>
  </w:style>
  <w:style w:type="character" w:styleId="Rimandonotaapidipagina">
    <w:name w:val="footnote reference"/>
    <w:basedOn w:val="Carpredefinitoparagrafo"/>
    <w:uiPriority w:val="99"/>
    <w:semiHidden/>
    <w:unhideWhenUsed/>
    <w:rsid w:val="00480915"/>
    <w:rPr>
      <w:vertAlign w:val="superscript"/>
    </w:rPr>
  </w:style>
  <w:style w:type="paragraph" w:styleId="NormaleWeb">
    <w:name w:val="Normal (Web)"/>
    <w:basedOn w:val="Normale"/>
    <w:uiPriority w:val="99"/>
    <w:semiHidden/>
    <w:unhideWhenUsed/>
    <w:rsid w:val="00480915"/>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TitoloCarattere">
    <w:name w:val="Titolo Carattere"/>
    <w:basedOn w:val="Carpredefinitoparagrafo"/>
    <w:link w:val="Titolo"/>
    <w:uiPriority w:val="10"/>
    <w:rsid w:val="00CF05BD"/>
    <w:rPr>
      <w:sz w:val="52"/>
      <w:szCs w:val="52"/>
    </w:rPr>
  </w:style>
  <w:style w:type="character" w:customStyle="1" w:styleId="SottotitoloCarattere">
    <w:name w:val="Sottotitolo Carattere"/>
    <w:basedOn w:val="Carpredefinitoparagrafo"/>
    <w:link w:val="Sottotitolo"/>
    <w:uiPriority w:val="11"/>
    <w:rsid w:val="00CF05BD"/>
    <w:rPr>
      <w:color w:val="666666"/>
      <w:sz w:val="30"/>
      <w:szCs w:val="30"/>
    </w:rPr>
  </w:style>
  <w:style w:type="paragraph" w:styleId="Titolosommario">
    <w:name w:val="TOC Heading"/>
    <w:basedOn w:val="Titolo1"/>
    <w:next w:val="Normale"/>
    <w:uiPriority w:val="39"/>
    <w:unhideWhenUsed/>
    <w:qFormat/>
    <w:rsid w:val="00CF05BD"/>
    <w:pPr>
      <w:spacing w:before="240" w:after="0" w:line="259" w:lineRule="auto"/>
      <w:outlineLvl w:val="9"/>
    </w:pPr>
    <w:rPr>
      <w:rFonts w:asciiTheme="majorHAnsi" w:eastAsiaTheme="majorEastAsia" w:hAnsiTheme="majorHAnsi" w:cstheme="majorBidi"/>
      <w:color w:val="365F91" w:themeColor="accent1" w:themeShade="BF"/>
      <w:sz w:val="32"/>
      <w:szCs w:val="32"/>
      <w:lang w:val="it-IT"/>
    </w:rPr>
  </w:style>
  <w:style w:type="paragraph" w:styleId="Sommario1">
    <w:name w:val="toc 1"/>
    <w:basedOn w:val="Normale"/>
    <w:next w:val="Normale"/>
    <w:autoRedefine/>
    <w:uiPriority w:val="39"/>
    <w:unhideWhenUsed/>
    <w:rsid w:val="00CF05BD"/>
    <w:pPr>
      <w:spacing w:after="100"/>
    </w:pPr>
  </w:style>
  <w:style w:type="paragraph" w:styleId="Sommario2">
    <w:name w:val="toc 2"/>
    <w:basedOn w:val="Normale"/>
    <w:next w:val="Normale"/>
    <w:autoRedefine/>
    <w:uiPriority w:val="39"/>
    <w:unhideWhenUsed/>
    <w:rsid w:val="00CF05BD"/>
    <w:pPr>
      <w:spacing w:after="100"/>
      <w:ind w:left="220"/>
    </w:pPr>
  </w:style>
  <w:style w:type="character" w:styleId="Collegamentoipertestuale">
    <w:name w:val="Hyperlink"/>
    <w:basedOn w:val="Carpredefinitoparagrafo"/>
    <w:uiPriority w:val="99"/>
    <w:unhideWhenUsed/>
    <w:rsid w:val="00CF05BD"/>
    <w:rPr>
      <w:color w:val="0000FF" w:themeColor="hyperlink"/>
      <w:u w:val="single"/>
    </w:rPr>
  </w:style>
  <w:style w:type="character" w:styleId="Menzionenonrisolta">
    <w:name w:val="Unresolved Mention"/>
    <w:basedOn w:val="Carpredefinitoparagrafo"/>
    <w:uiPriority w:val="99"/>
    <w:semiHidden/>
    <w:unhideWhenUsed/>
    <w:rsid w:val="00CF05BD"/>
    <w:rPr>
      <w:color w:val="605E5C"/>
      <w:shd w:val="clear" w:color="auto" w:fill="E1DFDD"/>
    </w:rPr>
  </w:style>
  <w:style w:type="character" w:customStyle="1" w:styleId="Titolo1Carattere">
    <w:name w:val="Titolo 1 Carattere"/>
    <w:basedOn w:val="Carpredefinitoparagrafo"/>
    <w:link w:val="Titolo1"/>
    <w:uiPriority w:val="9"/>
    <w:rsid w:val="005905AD"/>
    <w:rPr>
      <w:sz w:val="40"/>
      <w:szCs w:val="40"/>
    </w:rPr>
  </w:style>
  <w:style w:type="paragraph" w:styleId="Paragrafoelenco">
    <w:name w:val="List Paragraph"/>
    <w:basedOn w:val="Normale"/>
    <w:uiPriority w:val="34"/>
    <w:qFormat/>
    <w:rsid w:val="00590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9">
      <w:bodyDiv w:val="1"/>
      <w:marLeft w:val="0"/>
      <w:marRight w:val="0"/>
      <w:marTop w:val="0"/>
      <w:marBottom w:val="0"/>
      <w:divBdr>
        <w:top w:val="none" w:sz="0" w:space="0" w:color="auto"/>
        <w:left w:val="none" w:sz="0" w:space="0" w:color="auto"/>
        <w:bottom w:val="none" w:sz="0" w:space="0" w:color="auto"/>
        <w:right w:val="none" w:sz="0" w:space="0" w:color="auto"/>
      </w:divBdr>
    </w:div>
    <w:div w:id="138690511">
      <w:bodyDiv w:val="1"/>
      <w:marLeft w:val="0"/>
      <w:marRight w:val="0"/>
      <w:marTop w:val="0"/>
      <w:marBottom w:val="0"/>
      <w:divBdr>
        <w:top w:val="none" w:sz="0" w:space="0" w:color="auto"/>
        <w:left w:val="none" w:sz="0" w:space="0" w:color="auto"/>
        <w:bottom w:val="none" w:sz="0" w:space="0" w:color="auto"/>
        <w:right w:val="none" w:sz="0" w:space="0" w:color="auto"/>
      </w:divBdr>
    </w:div>
    <w:div w:id="381909104">
      <w:bodyDiv w:val="1"/>
      <w:marLeft w:val="0"/>
      <w:marRight w:val="0"/>
      <w:marTop w:val="0"/>
      <w:marBottom w:val="0"/>
      <w:divBdr>
        <w:top w:val="none" w:sz="0" w:space="0" w:color="auto"/>
        <w:left w:val="none" w:sz="0" w:space="0" w:color="auto"/>
        <w:bottom w:val="none" w:sz="0" w:space="0" w:color="auto"/>
        <w:right w:val="none" w:sz="0" w:space="0" w:color="auto"/>
      </w:divBdr>
    </w:div>
    <w:div w:id="566652959">
      <w:bodyDiv w:val="1"/>
      <w:marLeft w:val="0"/>
      <w:marRight w:val="0"/>
      <w:marTop w:val="0"/>
      <w:marBottom w:val="0"/>
      <w:divBdr>
        <w:top w:val="none" w:sz="0" w:space="0" w:color="auto"/>
        <w:left w:val="none" w:sz="0" w:space="0" w:color="auto"/>
        <w:bottom w:val="none" w:sz="0" w:space="0" w:color="auto"/>
        <w:right w:val="none" w:sz="0" w:space="0" w:color="auto"/>
      </w:divBdr>
    </w:div>
    <w:div w:id="1350641464">
      <w:bodyDiv w:val="1"/>
      <w:marLeft w:val="0"/>
      <w:marRight w:val="0"/>
      <w:marTop w:val="0"/>
      <w:marBottom w:val="0"/>
      <w:divBdr>
        <w:top w:val="none" w:sz="0" w:space="0" w:color="auto"/>
        <w:left w:val="none" w:sz="0" w:space="0" w:color="auto"/>
        <w:bottom w:val="none" w:sz="0" w:space="0" w:color="auto"/>
        <w:right w:val="none" w:sz="0" w:space="0" w:color="auto"/>
      </w:divBdr>
    </w:div>
    <w:div w:id="1728332027">
      <w:bodyDiv w:val="1"/>
      <w:marLeft w:val="0"/>
      <w:marRight w:val="0"/>
      <w:marTop w:val="0"/>
      <w:marBottom w:val="0"/>
      <w:divBdr>
        <w:top w:val="none" w:sz="0" w:space="0" w:color="auto"/>
        <w:left w:val="none" w:sz="0" w:space="0" w:color="auto"/>
        <w:bottom w:val="none" w:sz="0" w:space="0" w:color="auto"/>
        <w:right w:val="none" w:sz="0" w:space="0" w:color="auto"/>
      </w:divBdr>
    </w:div>
    <w:div w:id="2114006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coalition-s.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oa2020.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penaccess.cnr.it/" TargetMode="External"/><Relationship Id="rId20" Type="http://schemas.openxmlformats.org/officeDocument/2006/relationships/image" Target="media/image11.png"/><Relationship Id="rId29" Type="http://schemas.openxmlformats.org/officeDocument/2006/relationships/hyperlink" Target="https://openapc.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ur.gov.it/it/atti-e-normativa/decreto-ministeriale-n-268-del-28-02-202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penaccess.cnr.it/" TargetMode="External"/><Relationship Id="rId23" Type="http://schemas.openxmlformats.org/officeDocument/2006/relationships/hyperlink" Target="https://www.mur.gov.it/it/aree-tematiche/ricerca/programmazione/programma-nazionale-la-ricerca" TargetMode="External"/><Relationship Id="rId28" Type="http://schemas.openxmlformats.org/officeDocument/2006/relationships/hyperlink" Target="https://subscribetoopencommunity.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open-research-europe.ec.europa.eu/" TargetMode="External"/><Relationship Id="rId30" Type="http://schemas.openxmlformats.org/officeDocument/2006/relationships/hyperlink" Target="https://www.torrossa.com/it/resources/an/5148484"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github.com/OpenAPC/openapc-de/wiki/schema" TargetMode="External"/><Relationship Id="rId1" Type="http://schemas.openxmlformats.org/officeDocument/2006/relationships/hyperlink" Target="https://www.mur.gov.it/sites/default/files/2022-06/Piano_Nazionale_per_la_Scienza_Apert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8F403-42D9-4258-947B-AFE2937F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16</Pages>
  <Words>4632</Words>
  <Characters>26404</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Monitoraggio degli APC negli EPRCosa, come e perchè</vt:lpstr>
    </vt:vector>
  </TitlesOfParts>
  <Company/>
  <LinksUpToDate>false</LinksUpToDate>
  <CharactersWithSpaces>30975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Monitoraggio degli APC negli EPRCosa, come e perchè</dc:title>
  <cp:lastModifiedBy>Silvia</cp:lastModifiedBy>
  <cp:revision>9</cp:revision>
  <dcterms:created xsi:type="dcterms:W3CDTF">2022-09-07T09:48:00Z</dcterms:created>
  <dcterms:modified xsi:type="dcterms:W3CDTF">2022-09-08T07:42:00Z</dcterms:modified>
</cp:coreProperties>
</file>