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9"/>
        <w:gridCol w:w="1368"/>
        <w:gridCol w:w="1378"/>
        <w:gridCol w:w="1488"/>
        <w:gridCol w:w="1603"/>
        <w:gridCol w:w="1608"/>
      </w:tblGrid>
      <w:tr w:rsidR="002E0ABB">
        <w:trPr>
          <w:trHeight w:val="1362"/>
        </w:trPr>
        <w:tc>
          <w:tcPr>
            <w:tcW w:w="2189" w:type="dxa"/>
          </w:tcPr>
          <w:p w:rsidR="002E0ABB" w:rsidRDefault="002E0ABB">
            <w:pPr>
              <w:pStyle w:val="TableParagraph"/>
              <w:spacing w:before="4" w:after="1"/>
              <w:rPr>
                <w:rFonts w:ascii="Times New Roman"/>
                <w:sz w:val="16"/>
              </w:rPr>
            </w:pPr>
          </w:p>
          <w:p w:rsidR="002E0ABB" w:rsidRDefault="001479DE">
            <w:pPr>
              <w:pStyle w:val="TableParagraph"/>
              <w:ind w:left="237"/>
              <w:rPr>
                <w:rFonts w:ascii="Times New Roman"/>
                <w:sz w:val="20"/>
              </w:rPr>
            </w:pPr>
            <w:r>
              <w:rPr>
                <w:rFonts w:ascii="Times New Roman"/>
                <w:noProof/>
                <w:sz w:val="20"/>
              </w:rPr>
              <w:drawing>
                <wp:inline distT="0" distB="0" distL="0" distR="0">
                  <wp:extent cx="1078499" cy="5374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78499" cy="537400"/>
                          </a:xfrm>
                          <a:prstGeom prst="rect">
                            <a:avLst/>
                          </a:prstGeom>
                        </pic:spPr>
                      </pic:pic>
                    </a:graphicData>
                  </a:graphic>
                </wp:inline>
              </w:drawing>
            </w:r>
          </w:p>
        </w:tc>
        <w:tc>
          <w:tcPr>
            <w:tcW w:w="1368" w:type="dxa"/>
          </w:tcPr>
          <w:p w:rsidR="002E0ABB" w:rsidRDefault="002E0ABB">
            <w:pPr>
              <w:pStyle w:val="TableParagraph"/>
              <w:spacing w:before="2"/>
              <w:rPr>
                <w:rFonts w:ascii="Times New Roman"/>
                <w:sz w:val="8"/>
              </w:rPr>
            </w:pPr>
          </w:p>
          <w:p w:rsidR="002E0ABB" w:rsidRDefault="001479DE">
            <w:pPr>
              <w:pStyle w:val="TableParagraph"/>
              <w:ind w:left="99" w:right="-15"/>
              <w:rPr>
                <w:rFonts w:ascii="Times New Roman"/>
                <w:sz w:val="20"/>
              </w:rPr>
            </w:pPr>
            <w:r>
              <w:rPr>
                <w:rFonts w:ascii="Times New Roman"/>
                <w:noProof/>
                <w:sz w:val="20"/>
              </w:rPr>
              <w:drawing>
                <wp:inline distT="0" distB="0" distL="0" distR="0">
                  <wp:extent cx="772742" cy="73752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772742" cy="737520"/>
                          </a:xfrm>
                          <a:prstGeom prst="rect">
                            <a:avLst/>
                          </a:prstGeom>
                        </pic:spPr>
                      </pic:pic>
                    </a:graphicData>
                  </a:graphic>
                </wp:inline>
              </w:drawing>
            </w:r>
          </w:p>
        </w:tc>
        <w:tc>
          <w:tcPr>
            <w:tcW w:w="1378" w:type="dxa"/>
          </w:tcPr>
          <w:p w:rsidR="002E0ABB" w:rsidRDefault="002E0ABB">
            <w:pPr>
              <w:pStyle w:val="TableParagraph"/>
              <w:rPr>
                <w:rFonts w:ascii="Times New Roman"/>
                <w:sz w:val="24"/>
              </w:rPr>
            </w:pPr>
          </w:p>
          <w:p w:rsidR="002E0ABB" w:rsidRDefault="001479DE">
            <w:pPr>
              <w:pStyle w:val="TableParagraph"/>
              <w:spacing w:before="167"/>
              <w:ind w:left="95"/>
              <w:rPr>
                <w:b/>
              </w:rPr>
            </w:pPr>
            <w:r>
              <w:rPr>
                <w:b/>
                <w:color w:val="0000FF"/>
              </w:rPr>
              <w:t>I.Bi.S.Co.</w:t>
            </w:r>
          </w:p>
          <w:p w:rsidR="002E0ABB" w:rsidRDefault="001479DE">
            <w:pPr>
              <w:pStyle w:val="TableParagraph"/>
              <w:ind w:left="95"/>
              <w:rPr>
                <w:b/>
                <w:sz w:val="18"/>
              </w:rPr>
            </w:pPr>
            <w:r>
              <w:rPr>
                <w:b/>
                <w:color w:val="0000FF"/>
                <w:sz w:val="18"/>
              </w:rPr>
              <w:t>PIR01_00011</w:t>
            </w:r>
          </w:p>
        </w:tc>
        <w:tc>
          <w:tcPr>
            <w:tcW w:w="4699" w:type="dxa"/>
            <w:gridSpan w:val="3"/>
          </w:tcPr>
          <w:p w:rsidR="002E0ABB" w:rsidRDefault="002E0ABB">
            <w:pPr>
              <w:pStyle w:val="TableParagraph"/>
              <w:spacing w:before="7"/>
              <w:rPr>
                <w:rFonts w:ascii="Times New Roman"/>
                <w:sz w:val="18"/>
              </w:rPr>
            </w:pPr>
          </w:p>
          <w:p w:rsidR="002E0ABB" w:rsidRDefault="001479DE">
            <w:pPr>
              <w:pStyle w:val="TableParagraph"/>
              <w:ind w:left="120"/>
              <w:rPr>
                <w:rFonts w:ascii="Times New Roman"/>
                <w:sz w:val="20"/>
              </w:rPr>
            </w:pPr>
            <w:r>
              <w:rPr>
                <w:rFonts w:ascii="Times New Roman"/>
                <w:noProof/>
                <w:sz w:val="20"/>
              </w:rPr>
              <w:drawing>
                <wp:inline distT="0" distB="0" distL="0" distR="0">
                  <wp:extent cx="2746290" cy="56435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746290" cy="564356"/>
                          </a:xfrm>
                          <a:prstGeom prst="rect">
                            <a:avLst/>
                          </a:prstGeom>
                        </pic:spPr>
                      </pic:pic>
                    </a:graphicData>
                  </a:graphic>
                </wp:inline>
              </w:drawing>
            </w:r>
          </w:p>
        </w:tc>
      </w:tr>
      <w:tr w:rsidR="002E0ABB">
        <w:trPr>
          <w:trHeight w:val="1376"/>
        </w:trPr>
        <w:tc>
          <w:tcPr>
            <w:tcW w:w="2189" w:type="dxa"/>
          </w:tcPr>
          <w:p w:rsidR="002E0ABB" w:rsidRDefault="002E0ABB">
            <w:pPr>
              <w:pStyle w:val="TableParagraph"/>
              <w:spacing w:before="3"/>
              <w:rPr>
                <w:rFonts w:ascii="Times New Roman"/>
                <w:sz w:val="14"/>
              </w:rPr>
            </w:pPr>
          </w:p>
          <w:p w:rsidR="002E0ABB" w:rsidRDefault="001479DE">
            <w:pPr>
              <w:pStyle w:val="TableParagraph"/>
              <w:ind w:left="223"/>
              <w:rPr>
                <w:rFonts w:ascii="Times New Roman"/>
                <w:sz w:val="20"/>
              </w:rPr>
            </w:pPr>
            <w:r>
              <w:rPr>
                <w:rFonts w:ascii="Times New Roman"/>
                <w:noProof/>
                <w:sz w:val="20"/>
              </w:rPr>
              <w:drawing>
                <wp:inline distT="0" distB="0" distL="0" distR="0">
                  <wp:extent cx="1047752" cy="6572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1047752" cy="657225"/>
                          </a:xfrm>
                          <a:prstGeom prst="rect">
                            <a:avLst/>
                          </a:prstGeom>
                        </pic:spPr>
                      </pic:pic>
                    </a:graphicData>
                  </a:graphic>
                </wp:inline>
              </w:drawing>
            </w:r>
          </w:p>
        </w:tc>
        <w:tc>
          <w:tcPr>
            <w:tcW w:w="1368" w:type="dxa"/>
          </w:tcPr>
          <w:p w:rsidR="002E0ABB" w:rsidRDefault="002E0ABB">
            <w:pPr>
              <w:pStyle w:val="TableParagraph"/>
              <w:spacing w:before="9" w:after="1"/>
              <w:rPr>
                <w:rFonts w:ascii="Times New Roman"/>
                <w:sz w:val="8"/>
              </w:rPr>
            </w:pPr>
          </w:p>
          <w:p w:rsidR="002E0ABB" w:rsidRDefault="001479DE">
            <w:pPr>
              <w:pStyle w:val="TableParagraph"/>
              <w:ind w:left="99"/>
              <w:rPr>
                <w:rFonts w:ascii="Times New Roman"/>
                <w:sz w:val="20"/>
              </w:rPr>
            </w:pPr>
            <w:r>
              <w:rPr>
                <w:rFonts w:ascii="Times New Roman"/>
                <w:noProof/>
                <w:sz w:val="20"/>
              </w:rPr>
              <w:drawing>
                <wp:inline distT="0" distB="0" distL="0" distR="0">
                  <wp:extent cx="732065" cy="7352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732065" cy="735234"/>
                          </a:xfrm>
                          <a:prstGeom prst="rect">
                            <a:avLst/>
                          </a:prstGeom>
                        </pic:spPr>
                      </pic:pic>
                    </a:graphicData>
                  </a:graphic>
                </wp:inline>
              </w:drawing>
            </w:r>
          </w:p>
        </w:tc>
        <w:tc>
          <w:tcPr>
            <w:tcW w:w="1378" w:type="dxa"/>
          </w:tcPr>
          <w:p w:rsidR="002E0ABB" w:rsidRDefault="002E0ABB">
            <w:pPr>
              <w:pStyle w:val="TableParagraph"/>
              <w:rPr>
                <w:rFonts w:ascii="Times New Roman"/>
                <w:sz w:val="8"/>
              </w:rPr>
            </w:pPr>
          </w:p>
          <w:p w:rsidR="002E0ABB" w:rsidRDefault="001479DE">
            <w:pPr>
              <w:pStyle w:val="TableParagraph"/>
              <w:ind w:left="96"/>
              <w:rPr>
                <w:rFonts w:ascii="Times New Roman"/>
                <w:sz w:val="20"/>
              </w:rPr>
            </w:pPr>
            <w:r>
              <w:rPr>
                <w:rFonts w:ascii="Times New Roman"/>
                <w:noProof/>
                <w:sz w:val="20"/>
              </w:rPr>
              <w:drawing>
                <wp:inline distT="0" distB="0" distL="0" distR="0">
                  <wp:extent cx="739159" cy="742950"/>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739159" cy="742950"/>
                          </a:xfrm>
                          <a:prstGeom prst="rect">
                            <a:avLst/>
                          </a:prstGeom>
                        </pic:spPr>
                      </pic:pic>
                    </a:graphicData>
                  </a:graphic>
                </wp:inline>
              </w:drawing>
            </w:r>
          </w:p>
        </w:tc>
        <w:tc>
          <w:tcPr>
            <w:tcW w:w="1488" w:type="dxa"/>
          </w:tcPr>
          <w:p w:rsidR="002E0ABB" w:rsidRDefault="002E0ABB">
            <w:pPr>
              <w:pStyle w:val="TableParagraph"/>
              <w:spacing w:before="6" w:after="1"/>
              <w:rPr>
                <w:rFonts w:ascii="Times New Roman"/>
                <w:sz w:val="10"/>
              </w:rPr>
            </w:pPr>
          </w:p>
          <w:p w:rsidR="002E0ABB" w:rsidRDefault="001479DE">
            <w:pPr>
              <w:pStyle w:val="TableParagraph"/>
              <w:ind w:left="98"/>
              <w:rPr>
                <w:rFonts w:ascii="Times New Roman"/>
                <w:sz w:val="20"/>
              </w:rPr>
            </w:pPr>
            <w:r>
              <w:rPr>
                <w:rFonts w:ascii="Times New Roman"/>
                <w:noProof/>
                <w:sz w:val="20"/>
              </w:rPr>
              <w:drawing>
                <wp:inline distT="0" distB="0" distL="0" distR="0">
                  <wp:extent cx="807600" cy="70942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807600" cy="709422"/>
                          </a:xfrm>
                          <a:prstGeom prst="rect">
                            <a:avLst/>
                          </a:prstGeom>
                        </pic:spPr>
                      </pic:pic>
                    </a:graphicData>
                  </a:graphic>
                </wp:inline>
              </w:drawing>
            </w:r>
          </w:p>
        </w:tc>
        <w:tc>
          <w:tcPr>
            <w:tcW w:w="1603" w:type="dxa"/>
          </w:tcPr>
          <w:p w:rsidR="002E0ABB" w:rsidRDefault="002E0ABB">
            <w:pPr>
              <w:pStyle w:val="TableParagraph"/>
              <w:rPr>
                <w:rFonts w:ascii="Times New Roman"/>
                <w:sz w:val="20"/>
              </w:rPr>
            </w:pPr>
          </w:p>
          <w:p w:rsidR="002E0ABB" w:rsidRDefault="002E0ABB">
            <w:pPr>
              <w:pStyle w:val="TableParagraph"/>
              <w:spacing w:before="8"/>
              <w:rPr>
                <w:rFonts w:ascii="Times New Roman"/>
                <w:sz w:val="14"/>
              </w:rPr>
            </w:pPr>
          </w:p>
          <w:p w:rsidR="002E0ABB" w:rsidRDefault="001479DE">
            <w:pPr>
              <w:pStyle w:val="TableParagraph"/>
              <w:ind w:left="132"/>
              <w:rPr>
                <w:rFonts w:ascii="Times New Roman"/>
                <w:sz w:val="20"/>
              </w:rPr>
            </w:pPr>
            <w:r>
              <w:rPr>
                <w:rFonts w:ascii="Times New Roman"/>
                <w:noProof/>
                <w:sz w:val="20"/>
              </w:rPr>
              <w:drawing>
                <wp:inline distT="0" distB="0" distL="0" distR="0">
                  <wp:extent cx="842455" cy="354329"/>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842455" cy="354329"/>
                          </a:xfrm>
                          <a:prstGeom prst="rect">
                            <a:avLst/>
                          </a:prstGeom>
                        </pic:spPr>
                      </pic:pic>
                    </a:graphicData>
                  </a:graphic>
                </wp:inline>
              </w:drawing>
            </w:r>
          </w:p>
        </w:tc>
        <w:tc>
          <w:tcPr>
            <w:tcW w:w="1608" w:type="dxa"/>
          </w:tcPr>
          <w:p w:rsidR="002E0ABB" w:rsidRDefault="002E0ABB">
            <w:pPr>
              <w:pStyle w:val="TableParagraph"/>
              <w:spacing w:before="8"/>
              <w:rPr>
                <w:rFonts w:ascii="Times New Roman"/>
                <w:sz w:val="11"/>
              </w:rPr>
            </w:pPr>
          </w:p>
          <w:p w:rsidR="002E0ABB" w:rsidRDefault="001479DE">
            <w:pPr>
              <w:pStyle w:val="TableParagraph"/>
              <w:ind w:left="458"/>
              <w:rPr>
                <w:rFonts w:ascii="Times New Roman"/>
                <w:sz w:val="20"/>
              </w:rPr>
            </w:pPr>
            <w:r>
              <w:rPr>
                <w:rFonts w:ascii="Times New Roman"/>
                <w:noProof/>
                <w:sz w:val="20"/>
              </w:rPr>
              <w:drawing>
                <wp:inline distT="0" distB="0" distL="0" distR="0">
                  <wp:extent cx="559214" cy="695325"/>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559214" cy="695325"/>
                          </a:xfrm>
                          <a:prstGeom prst="rect">
                            <a:avLst/>
                          </a:prstGeom>
                        </pic:spPr>
                      </pic:pic>
                    </a:graphicData>
                  </a:graphic>
                </wp:inline>
              </w:drawing>
            </w:r>
          </w:p>
        </w:tc>
      </w:tr>
    </w:tbl>
    <w:p w:rsidR="002E0ABB" w:rsidRDefault="002E0ABB">
      <w:pPr>
        <w:pStyle w:val="Corpotesto"/>
        <w:ind w:left="0"/>
      </w:pPr>
    </w:p>
    <w:p w:rsidR="002E0ABB" w:rsidRDefault="002E0ABB">
      <w:pPr>
        <w:pStyle w:val="Corpotesto"/>
        <w:spacing w:before="4"/>
        <w:ind w:left="0"/>
        <w:rPr>
          <w:sz w:val="22"/>
        </w:rPr>
      </w:pPr>
    </w:p>
    <w:p w:rsidR="002E0ABB" w:rsidRPr="0094688F" w:rsidRDefault="001479DE">
      <w:pPr>
        <w:pStyle w:val="Titolo1"/>
        <w:spacing w:line="319" w:lineRule="auto"/>
        <w:ind w:right="3229"/>
        <w:rPr>
          <w:lang w:val="it-IT"/>
        </w:rPr>
      </w:pPr>
      <w:r w:rsidRPr="0094688F">
        <w:rPr>
          <w:lang w:val="it-IT"/>
        </w:rPr>
        <w:t>CONDIZIONI CONTRATTUALI CIG: 82562064B9</w:t>
      </w:r>
    </w:p>
    <w:p w:rsidR="002E0ABB" w:rsidRPr="0094688F" w:rsidRDefault="001479DE">
      <w:pPr>
        <w:spacing w:line="252" w:lineRule="exact"/>
        <w:ind w:left="3382" w:right="3205"/>
        <w:jc w:val="center"/>
        <w:rPr>
          <w:b/>
          <w:lang w:val="it-IT"/>
        </w:rPr>
      </w:pPr>
      <w:r w:rsidRPr="0094688F">
        <w:rPr>
          <w:b/>
          <w:lang w:val="it-IT"/>
        </w:rPr>
        <w:t>CUP: I66C18000100006</w:t>
      </w:r>
    </w:p>
    <w:p w:rsidR="002E0ABB" w:rsidRPr="0094688F" w:rsidRDefault="002E0ABB">
      <w:pPr>
        <w:pStyle w:val="Corpotesto"/>
        <w:ind w:left="0"/>
        <w:rPr>
          <w:b/>
          <w:sz w:val="8"/>
          <w:lang w:val="it-IT"/>
        </w:rPr>
      </w:pPr>
    </w:p>
    <w:tbl>
      <w:tblPr>
        <w:tblStyle w:val="TableNormal"/>
        <w:tblW w:w="0" w:type="auto"/>
        <w:tblInd w:w="2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2400"/>
      </w:tblGrid>
      <w:tr w:rsidR="002E0ABB">
        <w:trPr>
          <w:trHeight w:val="705"/>
        </w:trPr>
        <w:tc>
          <w:tcPr>
            <w:tcW w:w="3101" w:type="dxa"/>
          </w:tcPr>
          <w:p w:rsidR="002E0ABB" w:rsidRDefault="001479DE">
            <w:pPr>
              <w:pStyle w:val="TableParagraph"/>
              <w:spacing w:before="125"/>
              <w:ind w:left="643"/>
              <w:rPr>
                <w:sz w:val="24"/>
              </w:rPr>
            </w:pPr>
            <w:r>
              <w:rPr>
                <w:w w:val="90"/>
                <w:sz w:val="24"/>
              </w:rPr>
              <w:t>CODICE UNIVOCO DEL</w:t>
            </w:r>
          </w:p>
          <w:p w:rsidR="002E0ABB" w:rsidRDefault="001479DE">
            <w:pPr>
              <w:pStyle w:val="TableParagraph"/>
              <w:spacing w:before="17" w:line="267" w:lineRule="exact"/>
              <w:ind w:left="1646"/>
              <w:rPr>
                <w:sz w:val="24"/>
              </w:rPr>
            </w:pPr>
            <w:r>
              <w:rPr>
                <w:w w:val="90"/>
                <w:sz w:val="24"/>
              </w:rPr>
              <w:t>BENE</w:t>
            </w:r>
          </w:p>
        </w:tc>
        <w:tc>
          <w:tcPr>
            <w:tcW w:w="2400" w:type="dxa"/>
          </w:tcPr>
          <w:p w:rsidR="002E0ABB" w:rsidRDefault="002E0ABB">
            <w:pPr>
              <w:pStyle w:val="TableParagraph"/>
              <w:spacing w:before="9"/>
              <w:rPr>
                <w:rFonts w:ascii="Times New Roman"/>
                <w:b/>
                <w:sz w:val="23"/>
              </w:rPr>
            </w:pPr>
          </w:p>
          <w:p w:rsidR="002E0ABB" w:rsidRDefault="001479DE">
            <w:pPr>
              <w:pStyle w:val="TableParagraph"/>
              <w:ind w:left="506" w:right="150"/>
              <w:jc w:val="center"/>
              <w:rPr>
                <w:sz w:val="24"/>
              </w:rPr>
            </w:pPr>
            <w:r>
              <w:rPr>
                <w:w w:val="95"/>
                <w:sz w:val="24"/>
              </w:rPr>
              <w:t>NOME BREVE</w:t>
            </w:r>
          </w:p>
        </w:tc>
      </w:tr>
      <w:tr w:rsidR="002E0ABB">
        <w:trPr>
          <w:trHeight w:val="335"/>
        </w:trPr>
        <w:tc>
          <w:tcPr>
            <w:tcW w:w="3101" w:type="dxa"/>
          </w:tcPr>
          <w:p w:rsidR="002E0ABB" w:rsidRDefault="001479DE">
            <w:pPr>
              <w:pStyle w:val="TableParagraph"/>
              <w:spacing w:before="29"/>
              <w:ind w:right="298"/>
              <w:jc w:val="right"/>
              <w:rPr>
                <w:sz w:val="24"/>
              </w:rPr>
            </w:pPr>
            <w:r>
              <w:rPr>
                <w:w w:val="85"/>
                <w:sz w:val="24"/>
              </w:rPr>
              <w:t>PIR01_00011_138447</w:t>
            </w:r>
          </w:p>
        </w:tc>
        <w:tc>
          <w:tcPr>
            <w:tcW w:w="2400" w:type="dxa"/>
          </w:tcPr>
          <w:p w:rsidR="002E0ABB" w:rsidRDefault="001479DE">
            <w:pPr>
              <w:pStyle w:val="TableParagraph"/>
              <w:spacing w:before="29"/>
              <w:ind w:left="506" w:right="146"/>
              <w:jc w:val="center"/>
              <w:rPr>
                <w:sz w:val="24"/>
              </w:rPr>
            </w:pPr>
            <w:r>
              <w:rPr>
                <w:w w:val="90"/>
                <w:sz w:val="24"/>
              </w:rPr>
              <w:t>NA-07-CAL-INFN</w:t>
            </w:r>
          </w:p>
        </w:tc>
      </w:tr>
      <w:tr w:rsidR="002E0ABB">
        <w:trPr>
          <w:trHeight w:val="335"/>
        </w:trPr>
        <w:tc>
          <w:tcPr>
            <w:tcW w:w="3101" w:type="dxa"/>
          </w:tcPr>
          <w:p w:rsidR="002E0ABB" w:rsidRDefault="001479DE">
            <w:pPr>
              <w:pStyle w:val="TableParagraph"/>
              <w:spacing w:before="29"/>
              <w:ind w:right="298"/>
              <w:jc w:val="right"/>
              <w:rPr>
                <w:sz w:val="24"/>
              </w:rPr>
            </w:pPr>
            <w:r>
              <w:rPr>
                <w:w w:val="85"/>
                <w:sz w:val="24"/>
              </w:rPr>
              <w:t>PIR01_00011_140502</w:t>
            </w:r>
          </w:p>
        </w:tc>
        <w:tc>
          <w:tcPr>
            <w:tcW w:w="2400" w:type="dxa"/>
          </w:tcPr>
          <w:p w:rsidR="002E0ABB" w:rsidRDefault="001479DE">
            <w:pPr>
              <w:pStyle w:val="TableParagraph"/>
              <w:spacing w:before="29"/>
              <w:ind w:left="506" w:right="150"/>
              <w:jc w:val="center"/>
              <w:rPr>
                <w:sz w:val="24"/>
              </w:rPr>
            </w:pPr>
            <w:r>
              <w:rPr>
                <w:w w:val="90"/>
                <w:sz w:val="24"/>
              </w:rPr>
              <w:t>NA-11-NET-INFN</w:t>
            </w:r>
          </w:p>
        </w:tc>
      </w:tr>
    </w:tbl>
    <w:p w:rsidR="002E0ABB" w:rsidRDefault="002E0ABB">
      <w:pPr>
        <w:pStyle w:val="Corpotesto"/>
        <w:spacing w:before="1"/>
        <w:ind w:left="0"/>
        <w:rPr>
          <w:b/>
          <w:sz w:val="25"/>
        </w:rPr>
      </w:pPr>
    </w:p>
    <w:p w:rsidR="002E0ABB" w:rsidRDefault="001479DE">
      <w:pPr>
        <w:pStyle w:val="Titolo2"/>
        <w:numPr>
          <w:ilvl w:val="0"/>
          <w:numId w:val="1"/>
        </w:numPr>
        <w:tabs>
          <w:tab w:val="left" w:pos="912"/>
          <w:tab w:val="left" w:pos="913"/>
        </w:tabs>
        <w:rPr>
          <w:u w:val="none"/>
        </w:rPr>
      </w:pPr>
      <w:r>
        <w:t>GARANZIA</w:t>
      </w:r>
      <w:r>
        <w:rPr>
          <w:spacing w:val="4"/>
        </w:rPr>
        <w:t xml:space="preserve"> </w:t>
      </w:r>
      <w:r>
        <w:t>PROVVISORIA:</w:t>
      </w:r>
    </w:p>
    <w:p w:rsidR="002E0ABB" w:rsidRDefault="001479DE">
      <w:pPr>
        <w:pStyle w:val="Corpotesto"/>
        <w:spacing w:before="15" w:line="211" w:lineRule="auto"/>
        <w:ind w:right="322"/>
        <w:jc w:val="both"/>
      </w:pPr>
      <w:r>
        <w:t>Il concorrente dovrà presentare una garanzia provvisoria pari al 2% (due per cento) dell’importo a base di gara e con validità di 180 giorni dalla data di presentazione dell’offerta, ai sensi dell’art. 93 del d.lgs. n. 50/2016 e s.m.i.. L’importo della gar</w:t>
      </w:r>
      <w:r>
        <w:t>anzia è ridotto nel suo importo in tutte le ipotesi previste dall’art. 93, comma 7, del d.lgs. 50/2016 e s.m.i.</w:t>
      </w:r>
    </w:p>
    <w:p w:rsidR="002E0ABB" w:rsidRDefault="002E0ABB">
      <w:pPr>
        <w:pStyle w:val="Corpotesto"/>
        <w:spacing w:before="2"/>
        <w:ind w:left="0"/>
        <w:rPr>
          <w:sz w:val="31"/>
        </w:rPr>
      </w:pPr>
    </w:p>
    <w:p w:rsidR="002E0ABB" w:rsidRDefault="001479DE">
      <w:pPr>
        <w:pStyle w:val="Titolo2"/>
        <w:numPr>
          <w:ilvl w:val="0"/>
          <w:numId w:val="1"/>
        </w:numPr>
        <w:tabs>
          <w:tab w:val="left" w:pos="917"/>
          <w:tab w:val="left" w:pos="918"/>
        </w:tabs>
        <w:ind w:left="917" w:hanging="361"/>
        <w:rPr>
          <w:u w:val="none"/>
        </w:rPr>
      </w:pPr>
      <w:r>
        <w:t>VALIDITA’</w:t>
      </w:r>
      <w:r>
        <w:rPr>
          <w:spacing w:val="16"/>
        </w:rPr>
        <w:t xml:space="preserve"> </w:t>
      </w:r>
      <w:r>
        <w:t>OFFERTA:</w:t>
      </w:r>
    </w:p>
    <w:p w:rsidR="002E0ABB" w:rsidRPr="0094688F" w:rsidRDefault="001479DE">
      <w:pPr>
        <w:pStyle w:val="Corpotesto"/>
        <w:spacing w:line="223" w:lineRule="exact"/>
        <w:ind w:left="1023"/>
        <w:jc w:val="both"/>
        <w:rPr>
          <w:lang w:val="it-IT"/>
        </w:rPr>
      </w:pPr>
      <w:r w:rsidRPr="0094688F">
        <w:rPr>
          <w:lang w:val="it-IT"/>
        </w:rPr>
        <w:t>Le offerte devono avere una validità non inferiore a 180 giorni.</w:t>
      </w:r>
    </w:p>
    <w:p w:rsidR="002E0ABB" w:rsidRPr="0094688F" w:rsidRDefault="002E0ABB">
      <w:pPr>
        <w:pStyle w:val="Corpotesto"/>
        <w:ind w:left="0"/>
        <w:rPr>
          <w:sz w:val="22"/>
          <w:lang w:val="it-IT"/>
        </w:rPr>
      </w:pPr>
    </w:p>
    <w:p w:rsidR="002E0ABB" w:rsidRDefault="001479DE">
      <w:pPr>
        <w:pStyle w:val="Titolo2"/>
        <w:numPr>
          <w:ilvl w:val="0"/>
          <w:numId w:val="1"/>
        </w:numPr>
        <w:tabs>
          <w:tab w:val="left" w:pos="917"/>
          <w:tab w:val="left" w:pos="918"/>
        </w:tabs>
        <w:spacing w:before="132" w:line="218" w:lineRule="exact"/>
        <w:ind w:left="917" w:hanging="361"/>
        <w:rPr>
          <w:u w:val="none"/>
        </w:rPr>
      </w:pPr>
      <w:r>
        <w:t>GARANZIA</w:t>
      </w:r>
      <w:r>
        <w:rPr>
          <w:spacing w:val="4"/>
        </w:rPr>
        <w:t xml:space="preserve"> </w:t>
      </w:r>
      <w:r>
        <w:t>DEFINITIVA:</w:t>
      </w:r>
    </w:p>
    <w:p w:rsidR="002E0ABB" w:rsidRDefault="001479DE">
      <w:pPr>
        <w:pStyle w:val="Corpotesto"/>
        <w:spacing w:before="8" w:line="213" w:lineRule="auto"/>
        <w:ind w:right="325"/>
      </w:pPr>
      <w:r w:rsidRPr="0094688F">
        <w:rPr>
          <w:lang w:val="it-IT"/>
        </w:rPr>
        <w:t xml:space="preserve">L’esecutore del contratto è obbligato a costituire una garanzia definitiva secondo quanto previsto all’art. 103 del d.lgs. 50/2016 e s.m.i., mediante cauzione o fideiussione bancaria o polizza assicurativa. </w:t>
      </w:r>
      <w:r>
        <w:t xml:space="preserve">L’importo della garanzia è ridotto nel </w:t>
      </w:r>
      <w:r>
        <w:rPr>
          <w:spacing w:val="-3"/>
        </w:rPr>
        <w:t xml:space="preserve">suo </w:t>
      </w:r>
      <w:r>
        <w:t>import</w:t>
      </w:r>
      <w:r>
        <w:t xml:space="preserve">o in tutte le ipotesi previste dall’art. 93, </w:t>
      </w:r>
      <w:r>
        <w:rPr>
          <w:spacing w:val="-3"/>
        </w:rPr>
        <w:t xml:space="preserve">comma 7, </w:t>
      </w:r>
      <w:r>
        <w:t>del d.lgs. 50/2016 e s.m.i.. E’ facoltà dell’offerente costituire la cauzione con le modalità di cui al co. 2 dell’art.</w:t>
      </w:r>
      <w:r>
        <w:rPr>
          <w:spacing w:val="-23"/>
        </w:rPr>
        <w:t xml:space="preserve"> </w:t>
      </w:r>
      <w:r>
        <w:t>93.</w:t>
      </w:r>
    </w:p>
    <w:p w:rsidR="002E0ABB" w:rsidRDefault="001479DE">
      <w:pPr>
        <w:pStyle w:val="Corpotesto"/>
        <w:spacing w:line="211" w:lineRule="auto"/>
        <w:ind w:right="326"/>
        <w:jc w:val="both"/>
      </w:pPr>
      <w:r>
        <w:t>L’atto fideiussorio deve prevedere espressamente la rinuncia al beneficio dell</w:t>
      </w:r>
      <w:r>
        <w:t>a preventiva escussione del debitore principale; la rinuncia all’eccezione di cui all’art. 1957, comma 2, del Codice Civile, nonché l’operatività della garanzia medesima entro 15 giorni, a semplice richiesta scritta dell’INFN.</w:t>
      </w:r>
    </w:p>
    <w:p w:rsidR="002E0ABB" w:rsidRDefault="001479DE">
      <w:pPr>
        <w:pStyle w:val="Corpotesto"/>
        <w:spacing w:line="193" w:lineRule="exact"/>
        <w:jc w:val="both"/>
      </w:pPr>
      <w:r>
        <w:t>La cauzione è prestata a</w:t>
      </w:r>
    </w:p>
    <w:p w:rsidR="002E0ABB" w:rsidRDefault="001479DE">
      <w:pPr>
        <w:pStyle w:val="Corpotesto"/>
        <w:spacing w:before="10" w:line="211" w:lineRule="auto"/>
        <w:ind w:right="321"/>
        <w:jc w:val="both"/>
      </w:pPr>
      <w:r>
        <w:t>gara</w:t>
      </w:r>
      <w:r>
        <w:t>nzia dell’adempimento di tutte le obbligazioni del contratto e del risarcimento dei danni derivanti dall’eventuale</w:t>
      </w:r>
      <w:r>
        <w:rPr>
          <w:spacing w:val="-13"/>
        </w:rPr>
        <w:t xml:space="preserve"> </w:t>
      </w:r>
      <w:r>
        <w:t>inadempimento</w:t>
      </w:r>
      <w:r>
        <w:rPr>
          <w:spacing w:val="-15"/>
        </w:rPr>
        <w:t xml:space="preserve"> </w:t>
      </w:r>
      <w:r>
        <w:t>delle</w:t>
      </w:r>
      <w:r>
        <w:rPr>
          <w:spacing w:val="-13"/>
        </w:rPr>
        <w:t xml:space="preserve"> </w:t>
      </w:r>
      <w:r>
        <w:t>obbligazioni</w:t>
      </w:r>
      <w:r>
        <w:rPr>
          <w:spacing w:val="-13"/>
        </w:rPr>
        <w:t xml:space="preserve"> </w:t>
      </w:r>
      <w:r>
        <w:t>stesse,</w:t>
      </w:r>
      <w:r>
        <w:rPr>
          <w:spacing w:val="-13"/>
        </w:rPr>
        <w:t xml:space="preserve"> </w:t>
      </w:r>
      <w:r>
        <w:t>nonché</w:t>
      </w:r>
      <w:r>
        <w:rPr>
          <w:spacing w:val="22"/>
        </w:rPr>
        <w:t xml:space="preserve"> </w:t>
      </w:r>
      <w:r>
        <w:t>a</w:t>
      </w:r>
      <w:r>
        <w:rPr>
          <w:spacing w:val="27"/>
        </w:rPr>
        <w:t xml:space="preserve"> </w:t>
      </w:r>
      <w:r>
        <w:t>garanzia</w:t>
      </w:r>
      <w:r>
        <w:rPr>
          <w:spacing w:val="-12"/>
        </w:rPr>
        <w:t xml:space="preserve"> </w:t>
      </w:r>
      <w:r>
        <w:t>del</w:t>
      </w:r>
      <w:r>
        <w:rPr>
          <w:spacing w:val="-13"/>
        </w:rPr>
        <w:t xml:space="preserve"> </w:t>
      </w:r>
      <w:r>
        <w:t>rimborso</w:t>
      </w:r>
      <w:r>
        <w:rPr>
          <w:spacing w:val="-15"/>
        </w:rPr>
        <w:t xml:space="preserve"> </w:t>
      </w:r>
      <w:r>
        <w:t>delle</w:t>
      </w:r>
      <w:r>
        <w:rPr>
          <w:spacing w:val="-13"/>
        </w:rPr>
        <w:t xml:space="preserve"> </w:t>
      </w:r>
      <w:r>
        <w:t>somme</w:t>
      </w:r>
      <w:r>
        <w:rPr>
          <w:spacing w:val="-12"/>
        </w:rPr>
        <w:t xml:space="preserve"> </w:t>
      </w:r>
      <w:r>
        <w:t>pagate in più all’esecutore rispetto alle risultanze della liquidazione finale, salva comunque la risarcibilità del maggior danno verso l’appaltatore e cessa di avere effetto solo alla data di emissione del certificato di collaudo provvisorio o del certifi</w:t>
      </w:r>
      <w:r>
        <w:t>cato di regolare</w:t>
      </w:r>
      <w:r>
        <w:rPr>
          <w:spacing w:val="35"/>
        </w:rPr>
        <w:t xml:space="preserve"> </w:t>
      </w:r>
      <w:r>
        <w:t>esecuzione.</w:t>
      </w:r>
    </w:p>
    <w:p w:rsidR="002E0ABB" w:rsidRDefault="001479DE">
      <w:pPr>
        <w:pStyle w:val="Corpotesto"/>
        <w:spacing w:line="211" w:lineRule="auto"/>
        <w:ind w:left="918" w:right="320"/>
        <w:jc w:val="both"/>
      </w:pPr>
      <w:r>
        <w:t>L’Impresa si impegna a tenere valida ed efficace la garanzia per tutta la durata del contratto e a reintegrarla ove l’INFN se ne sia avvalso, entro 10 (dieci) giorni dalla richiesta. In caso di mancato reintegro il contratto si</w:t>
      </w:r>
      <w:r>
        <w:t xml:space="preserve"> intende risolto, salvo il risarcimento del danno.</w:t>
      </w:r>
    </w:p>
    <w:p w:rsidR="002E0ABB" w:rsidRDefault="002E0ABB">
      <w:pPr>
        <w:pStyle w:val="Corpotesto"/>
        <w:spacing w:before="8"/>
        <w:ind w:left="0"/>
        <w:rPr>
          <w:sz w:val="31"/>
        </w:rPr>
      </w:pPr>
    </w:p>
    <w:p w:rsidR="002E0ABB" w:rsidRDefault="001479DE">
      <w:pPr>
        <w:pStyle w:val="Titolo2"/>
        <w:numPr>
          <w:ilvl w:val="0"/>
          <w:numId w:val="1"/>
        </w:numPr>
        <w:tabs>
          <w:tab w:val="left" w:pos="918"/>
          <w:tab w:val="left" w:pos="919"/>
        </w:tabs>
        <w:spacing w:before="1" w:line="221" w:lineRule="exact"/>
        <w:ind w:left="918" w:hanging="361"/>
        <w:rPr>
          <w:u w:val="none"/>
        </w:rPr>
      </w:pPr>
      <w:r>
        <w:t>PENALI:</w:t>
      </w:r>
    </w:p>
    <w:p w:rsidR="002E0ABB" w:rsidRDefault="001479DE">
      <w:pPr>
        <w:pStyle w:val="Corpotesto"/>
        <w:spacing w:before="13" w:line="211" w:lineRule="auto"/>
        <w:ind w:right="227"/>
        <w:rPr>
          <w:i/>
        </w:rPr>
      </w:pPr>
      <w:r>
        <w:t xml:space="preserve">In caso </w:t>
      </w:r>
      <w:r>
        <w:rPr>
          <w:spacing w:val="-3"/>
        </w:rPr>
        <w:t xml:space="preserve">di </w:t>
      </w:r>
      <w:r>
        <w:t xml:space="preserve">mancato o inesatto o ritardato adempimento delle prestazioni contrattuali sarà applicata una penale pari allo 0,3 per mille dell’importo contrattuale per ogni giorno </w:t>
      </w:r>
      <w:r>
        <w:rPr>
          <w:spacing w:val="-3"/>
        </w:rPr>
        <w:t xml:space="preserve">di </w:t>
      </w:r>
      <w:r>
        <w:t>ritardo con un massimo del 10%</w:t>
      </w:r>
      <w:r>
        <w:rPr>
          <w:i/>
          <w:color w:val="0000FF"/>
        </w:rPr>
        <w:t>.</w:t>
      </w:r>
    </w:p>
    <w:p w:rsidR="002E0ABB" w:rsidRDefault="001479DE">
      <w:pPr>
        <w:pStyle w:val="Corpotesto"/>
        <w:spacing w:before="3" w:line="211" w:lineRule="auto"/>
        <w:ind w:right="227"/>
      </w:pPr>
      <w:r>
        <w:t>La</w:t>
      </w:r>
      <w:r>
        <w:rPr>
          <w:spacing w:val="-12"/>
        </w:rPr>
        <w:t xml:space="preserve"> </w:t>
      </w:r>
      <w:r>
        <w:t>fissazione</w:t>
      </w:r>
      <w:r>
        <w:rPr>
          <w:spacing w:val="-12"/>
        </w:rPr>
        <w:t xml:space="preserve"> </w:t>
      </w:r>
      <w:r>
        <w:t>delle</w:t>
      </w:r>
      <w:r>
        <w:rPr>
          <w:spacing w:val="-11"/>
        </w:rPr>
        <w:t xml:space="preserve"> </w:t>
      </w:r>
      <w:r>
        <w:t>penali</w:t>
      </w:r>
      <w:r>
        <w:rPr>
          <w:spacing w:val="-12"/>
        </w:rPr>
        <w:t xml:space="preserve"> </w:t>
      </w:r>
      <w:r>
        <w:t>non</w:t>
      </w:r>
      <w:r>
        <w:rPr>
          <w:spacing w:val="-14"/>
        </w:rPr>
        <w:t xml:space="preserve"> </w:t>
      </w:r>
      <w:r>
        <w:t>preclude</w:t>
      </w:r>
      <w:r>
        <w:rPr>
          <w:spacing w:val="-11"/>
        </w:rPr>
        <w:t xml:space="preserve"> </w:t>
      </w:r>
      <w:r>
        <w:t>la</w:t>
      </w:r>
      <w:r>
        <w:rPr>
          <w:spacing w:val="-12"/>
        </w:rPr>
        <w:t xml:space="preserve"> </w:t>
      </w:r>
      <w:r>
        <w:t>risarcibilità</w:t>
      </w:r>
      <w:r>
        <w:rPr>
          <w:spacing w:val="-12"/>
        </w:rPr>
        <w:t xml:space="preserve"> </w:t>
      </w:r>
      <w:r>
        <w:rPr>
          <w:spacing w:val="-3"/>
        </w:rPr>
        <w:t>di</w:t>
      </w:r>
      <w:r>
        <w:rPr>
          <w:spacing w:val="-11"/>
        </w:rPr>
        <w:t xml:space="preserve"> </w:t>
      </w:r>
      <w:r>
        <w:t>eventuali</w:t>
      </w:r>
      <w:r>
        <w:rPr>
          <w:spacing w:val="-8"/>
        </w:rPr>
        <w:t xml:space="preserve"> </w:t>
      </w:r>
      <w:r>
        <w:t>ulteriori</w:t>
      </w:r>
      <w:r>
        <w:rPr>
          <w:spacing w:val="-13"/>
        </w:rPr>
        <w:t xml:space="preserve"> </w:t>
      </w:r>
      <w:r>
        <w:t>danni</w:t>
      </w:r>
      <w:r>
        <w:rPr>
          <w:spacing w:val="-12"/>
        </w:rPr>
        <w:t xml:space="preserve"> </w:t>
      </w:r>
      <w:r>
        <w:t>o</w:t>
      </w:r>
      <w:r>
        <w:rPr>
          <w:spacing w:val="-14"/>
        </w:rPr>
        <w:t xml:space="preserve"> </w:t>
      </w:r>
      <w:r>
        <w:t>la</w:t>
      </w:r>
      <w:r>
        <w:rPr>
          <w:spacing w:val="-12"/>
        </w:rPr>
        <w:t xml:space="preserve"> </w:t>
      </w:r>
      <w:r>
        <w:t>risoluzione</w:t>
      </w:r>
      <w:r>
        <w:rPr>
          <w:spacing w:val="-11"/>
        </w:rPr>
        <w:t xml:space="preserve"> </w:t>
      </w:r>
      <w:r>
        <w:t>del</w:t>
      </w:r>
      <w:r>
        <w:rPr>
          <w:spacing w:val="-17"/>
        </w:rPr>
        <w:t xml:space="preserve"> </w:t>
      </w:r>
      <w:r>
        <w:t>contratto se l’ammontare delle penali raggiunge l’importo della garanzia definitiva.</w:t>
      </w:r>
    </w:p>
    <w:p w:rsidR="002E0ABB" w:rsidRDefault="002E0ABB">
      <w:pPr>
        <w:pStyle w:val="Corpotesto"/>
        <w:spacing w:before="7"/>
        <w:ind w:left="0"/>
        <w:rPr>
          <w:sz w:val="26"/>
        </w:rPr>
      </w:pPr>
    </w:p>
    <w:p w:rsidR="002E0ABB" w:rsidRDefault="001479DE">
      <w:pPr>
        <w:pStyle w:val="Titolo2"/>
        <w:numPr>
          <w:ilvl w:val="0"/>
          <w:numId w:val="1"/>
        </w:numPr>
        <w:tabs>
          <w:tab w:val="left" w:pos="917"/>
          <w:tab w:val="left" w:pos="918"/>
        </w:tabs>
        <w:spacing w:line="307" w:lineRule="exact"/>
        <w:ind w:left="917" w:hanging="361"/>
        <w:rPr>
          <w:rFonts w:ascii="TimesNewRomanPS-BoldItalicMT"/>
          <w:i/>
          <w:u w:val="none"/>
        </w:rPr>
      </w:pPr>
      <w:r>
        <w:t>TERMINI DI CONSEGNA</w:t>
      </w:r>
      <w:r>
        <w:rPr>
          <w:rFonts w:ascii="Times-BoldItalic"/>
          <w:i/>
        </w:rPr>
        <w:t>:</w:t>
      </w:r>
    </w:p>
    <w:p w:rsidR="002E0ABB" w:rsidRDefault="001479DE">
      <w:pPr>
        <w:pStyle w:val="Corpotesto"/>
        <w:spacing w:before="8" w:line="187" w:lineRule="auto"/>
        <w:ind w:left="936" w:right="278"/>
        <w:jc w:val="both"/>
      </w:pPr>
      <w:r>
        <w:t>La fornitu</w:t>
      </w:r>
      <w:r>
        <w:t>ra dovrà essere consegnata entro 45 giorni dalla data di stipula del contratto, franco sede della Sezione di Napoli dell’INFN presso il Complesso Universitario di Monte S. Angelo Via Cintia, edificio 6, 80126 Napoli.</w:t>
      </w:r>
    </w:p>
    <w:p w:rsidR="002E0ABB" w:rsidRDefault="002E0ABB">
      <w:pPr>
        <w:spacing w:line="187" w:lineRule="auto"/>
        <w:jc w:val="both"/>
        <w:sectPr w:rsidR="002E0ABB">
          <w:footerReference w:type="default" r:id="rId16"/>
          <w:type w:val="continuous"/>
          <w:pgSz w:w="11900" w:h="16840"/>
          <w:pgMar w:top="640" w:right="1080" w:bottom="1180" w:left="940" w:header="720" w:footer="985" w:gutter="0"/>
          <w:cols w:space="720"/>
        </w:sectPr>
      </w:pPr>
    </w:p>
    <w:p w:rsidR="002E0ABB" w:rsidRDefault="001479DE">
      <w:pPr>
        <w:pStyle w:val="Titolo2"/>
        <w:numPr>
          <w:ilvl w:val="0"/>
          <w:numId w:val="1"/>
        </w:numPr>
        <w:tabs>
          <w:tab w:val="left" w:pos="917"/>
          <w:tab w:val="left" w:pos="918"/>
        </w:tabs>
        <w:spacing w:before="63"/>
        <w:ind w:left="917" w:hanging="361"/>
        <w:rPr>
          <w:u w:val="none"/>
        </w:rPr>
      </w:pPr>
      <w:r>
        <w:lastRenderedPageBreak/>
        <w:t>AUMENTI /</w:t>
      </w:r>
      <w:r>
        <w:rPr>
          <w:spacing w:val="4"/>
        </w:rPr>
        <w:t xml:space="preserve"> </w:t>
      </w:r>
      <w:r>
        <w:t>DIMINUZIONI:</w:t>
      </w:r>
    </w:p>
    <w:p w:rsidR="002E0ABB" w:rsidRDefault="001479DE">
      <w:pPr>
        <w:pStyle w:val="Corpotesto"/>
        <w:spacing w:before="16" w:line="211" w:lineRule="auto"/>
        <w:ind w:left="936" w:right="320"/>
        <w:jc w:val="both"/>
      </w:pPr>
      <w:r>
        <w:t>L’INFN,</w:t>
      </w:r>
      <w:r>
        <w:rPr>
          <w:spacing w:val="-3"/>
        </w:rPr>
        <w:t xml:space="preserve"> </w:t>
      </w:r>
      <w:r>
        <w:t>ai</w:t>
      </w:r>
      <w:r>
        <w:rPr>
          <w:spacing w:val="2"/>
        </w:rPr>
        <w:t xml:space="preserve"> </w:t>
      </w:r>
      <w:r>
        <w:t>sensi</w:t>
      </w:r>
      <w:r>
        <w:rPr>
          <w:spacing w:val="-3"/>
        </w:rPr>
        <w:t xml:space="preserve"> </w:t>
      </w:r>
      <w:r>
        <w:t>dell’art.</w:t>
      </w:r>
      <w:r>
        <w:rPr>
          <w:spacing w:val="-2"/>
        </w:rPr>
        <w:t xml:space="preserve"> </w:t>
      </w:r>
      <w:r>
        <w:t>106,</w:t>
      </w:r>
      <w:r>
        <w:rPr>
          <w:spacing w:val="-3"/>
        </w:rPr>
        <w:t xml:space="preserve"> </w:t>
      </w:r>
      <w:r>
        <w:t>comma</w:t>
      </w:r>
      <w:r>
        <w:rPr>
          <w:spacing w:val="-3"/>
        </w:rPr>
        <w:t xml:space="preserve"> </w:t>
      </w:r>
      <w:r>
        <w:t>12,</w:t>
      </w:r>
      <w:r>
        <w:rPr>
          <w:spacing w:val="-2"/>
        </w:rPr>
        <w:t xml:space="preserve"> </w:t>
      </w:r>
      <w:r>
        <w:t>del</w:t>
      </w:r>
      <w:r>
        <w:rPr>
          <w:spacing w:val="2"/>
        </w:rPr>
        <w:t xml:space="preserve"> </w:t>
      </w:r>
      <w:r>
        <w:t>d.lgs.</w:t>
      </w:r>
      <w:r>
        <w:rPr>
          <w:spacing w:val="-2"/>
        </w:rPr>
        <w:t xml:space="preserve"> </w:t>
      </w:r>
      <w:r>
        <w:t>n.</w:t>
      </w:r>
      <w:r>
        <w:rPr>
          <w:spacing w:val="-3"/>
        </w:rPr>
        <w:t xml:space="preserve"> </w:t>
      </w:r>
      <w:r>
        <w:t>50/2016</w:t>
      </w:r>
      <w:r>
        <w:rPr>
          <w:spacing w:val="-4"/>
        </w:rPr>
        <w:t xml:space="preserve"> </w:t>
      </w:r>
      <w:r>
        <w:t>e</w:t>
      </w:r>
      <w:r>
        <w:rPr>
          <w:spacing w:val="2"/>
        </w:rPr>
        <w:t xml:space="preserve"> </w:t>
      </w:r>
      <w:r>
        <w:t>s.m.i.,</w:t>
      </w:r>
      <w:r>
        <w:rPr>
          <w:spacing w:val="-2"/>
        </w:rPr>
        <w:t xml:space="preserve"> </w:t>
      </w:r>
      <w:r>
        <w:t>qualora</w:t>
      </w:r>
      <w:r>
        <w:rPr>
          <w:spacing w:val="-3"/>
        </w:rPr>
        <w:t xml:space="preserve"> </w:t>
      </w:r>
      <w:r>
        <w:t>si</w:t>
      </w:r>
      <w:r>
        <w:rPr>
          <w:spacing w:val="-4"/>
        </w:rPr>
        <w:t xml:space="preserve"> </w:t>
      </w:r>
      <w:r>
        <w:t>renda</w:t>
      </w:r>
      <w:r>
        <w:rPr>
          <w:spacing w:val="-3"/>
        </w:rPr>
        <w:t xml:space="preserve"> </w:t>
      </w:r>
      <w:r>
        <w:t>necessario</w:t>
      </w:r>
      <w:r>
        <w:rPr>
          <w:spacing w:val="-4"/>
        </w:rPr>
        <w:t xml:space="preserve"> </w:t>
      </w:r>
      <w:r>
        <w:t>in</w:t>
      </w:r>
      <w:r>
        <w:rPr>
          <w:spacing w:val="-4"/>
        </w:rPr>
        <w:t xml:space="preserve"> </w:t>
      </w:r>
      <w:r>
        <w:t>corso di</w:t>
      </w:r>
      <w:r>
        <w:rPr>
          <w:spacing w:val="-9"/>
        </w:rPr>
        <w:t xml:space="preserve"> </w:t>
      </w:r>
      <w:r>
        <w:t>esecuzione</w:t>
      </w:r>
      <w:r>
        <w:rPr>
          <w:spacing w:val="-8"/>
        </w:rPr>
        <w:t xml:space="preserve"> </w:t>
      </w:r>
      <w:r>
        <w:t>un</w:t>
      </w:r>
      <w:r>
        <w:rPr>
          <w:spacing w:val="-14"/>
        </w:rPr>
        <w:t xml:space="preserve"> </w:t>
      </w:r>
      <w:r>
        <w:t>aumento</w:t>
      </w:r>
      <w:r>
        <w:rPr>
          <w:spacing w:val="-9"/>
        </w:rPr>
        <w:t xml:space="preserve"> </w:t>
      </w:r>
      <w:r>
        <w:t>o</w:t>
      </w:r>
      <w:r>
        <w:rPr>
          <w:spacing w:val="-9"/>
        </w:rPr>
        <w:t xml:space="preserve"> </w:t>
      </w:r>
      <w:r>
        <w:t>una</w:t>
      </w:r>
      <w:r>
        <w:rPr>
          <w:spacing w:val="-8"/>
        </w:rPr>
        <w:t xml:space="preserve"> </w:t>
      </w:r>
      <w:r>
        <w:t>diminuzione</w:t>
      </w:r>
      <w:r>
        <w:rPr>
          <w:spacing w:val="-8"/>
        </w:rPr>
        <w:t xml:space="preserve"> </w:t>
      </w:r>
      <w:r>
        <w:t>delle</w:t>
      </w:r>
      <w:r>
        <w:rPr>
          <w:spacing w:val="-8"/>
        </w:rPr>
        <w:t xml:space="preserve"> </w:t>
      </w:r>
      <w:r>
        <w:t>prestazioni</w:t>
      </w:r>
      <w:r>
        <w:rPr>
          <w:spacing w:val="-8"/>
        </w:rPr>
        <w:t xml:space="preserve"> </w:t>
      </w:r>
      <w:r>
        <w:t>fino</w:t>
      </w:r>
      <w:r>
        <w:rPr>
          <w:spacing w:val="-14"/>
        </w:rPr>
        <w:t xml:space="preserve"> </w:t>
      </w:r>
      <w:r>
        <w:t>a</w:t>
      </w:r>
      <w:r>
        <w:rPr>
          <w:spacing w:val="-8"/>
        </w:rPr>
        <w:t xml:space="preserve"> </w:t>
      </w:r>
      <w:r>
        <w:t>concorrenza</w:t>
      </w:r>
      <w:r>
        <w:rPr>
          <w:spacing w:val="-8"/>
        </w:rPr>
        <w:t xml:space="preserve"> </w:t>
      </w:r>
      <w:r>
        <w:t>del</w:t>
      </w:r>
      <w:r>
        <w:rPr>
          <w:spacing w:val="-8"/>
        </w:rPr>
        <w:t xml:space="preserve"> </w:t>
      </w:r>
      <w:r>
        <w:t>quinto</w:t>
      </w:r>
      <w:r>
        <w:rPr>
          <w:spacing w:val="-9"/>
        </w:rPr>
        <w:t xml:space="preserve"> </w:t>
      </w:r>
      <w:r>
        <w:t>dell’importo</w:t>
      </w:r>
      <w:r>
        <w:rPr>
          <w:spacing w:val="-9"/>
        </w:rPr>
        <w:t xml:space="preserve"> </w:t>
      </w:r>
      <w:r>
        <w:t>del contratto,</w:t>
      </w:r>
      <w:r>
        <w:rPr>
          <w:spacing w:val="-3"/>
        </w:rPr>
        <w:t xml:space="preserve"> </w:t>
      </w:r>
      <w:r>
        <w:t>può</w:t>
      </w:r>
      <w:r>
        <w:rPr>
          <w:spacing w:val="-9"/>
        </w:rPr>
        <w:t xml:space="preserve"> </w:t>
      </w:r>
      <w:r>
        <w:t>imporre</w:t>
      </w:r>
      <w:r>
        <w:rPr>
          <w:spacing w:val="-8"/>
        </w:rPr>
        <w:t xml:space="preserve"> </w:t>
      </w:r>
      <w:r>
        <w:t>all’Impresa</w:t>
      </w:r>
      <w:r>
        <w:rPr>
          <w:spacing w:val="-3"/>
        </w:rPr>
        <w:t xml:space="preserve"> </w:t>
      </w:r>
      <w:r>
        <w:t>l’esecuzione</w:t>
      </w:r>
      <w:r>
        <w:rPr>
          <w:spacing w:val="-8"/>
        </w:rPr>
        <w:t xml:space="preserve"> </w:t>
      </w:r>
      <w:r>
        <w:t>alle</w:t>
      </w:r>
      <w:r>
        <w:rPr>
          <w:spacing w:val="-3"/>
        </w:rPr>
        <w:t xml:space="preserve"> </w:t>
      </w:r>
      <w:r>
        <w:t>stesse</w:t>
      </w:r>
      <w:r>
        <w:rPr>
          <w:spacing w:val="-8"/>
        </w:rPr>
        <w:t xml:space="preserve"> </w:t>
      </w:r>
      <w:r>
        <w:t>condizioni</w:t>
      </w:r>
      <w:r>
        <w:rPr>
          <w:spacing w:val="-8"/>
        </w:rPr>
        <w:t xml:space="preserve"> </w:t>
      </w:r>
      <w:r>
        <w:t>previste</w:t>
      </w:r>
      <w:r>
        <w:rPr>
          <w:spacing w:val="-8"/>
        </w:rPr>
        <w:t xml:space="preserve"> </w:t>
      </w:r>
      <w:r>
        <w:t>nel</w:t>
      </w:r>
      <w:r>
        <w:rPr>
          <w:spacing w:val="-8"/>
        </w:rPr>
        <w:t xml:space="preserve"> </w:t>
      </w:r>
      <w:r>
        <w:t>contratto originario.</w:t>
      </w:r>
      <w:r>
        <w:rPr>
          <w:spacing w:val="2"/>
        </w:rPr>
        <w:t xml:space="preserve"> </w:t>
      </w:r>
      <w:r>
        <w:rPr>
          <w:spacing w:val="-3"/>
        </w:rPr>
        <w:t>In</w:t>
      </w:r>
      <w:r>
        <w:t xml:space="preserve"> tal caso, l’Impresa non può far v</w:t>
      </w:r>
      <w:r>
        <w:t>alere il diritto alla risoluzione del</w:t>
      </w:r>
      <w:r>
        <w:rPr>
          <w:spacing w:val="3"/>
        </w:rPr>
        <w:t xml:space="preserve"> </w:t>
      </w:r>
      <w:r>
        <w:t>contratto.</w:t>
      </w:r>
    </w:p>
    <w:p w:rsidR="002E0ABB" w:rsidRDefault="002E0ABB">
      <w:pPr>
        <w:pStyle w:val="Corpotesto"/>
        <w:ind w:left="0"/>
        <w:rPr>
          <w:sz w:val="22"/>
        </w:rPr>
      </w:pPr>
    </w:p>
    <w:p w:rsidR="002E0ABB" w:rsidRDefault="001479DE">
      <w:pPr>
        <w:pStyle w:val="Titolo2"/>
        <w:numPr>
          <w:ilvl w:val="0"/>
          <w:numId w:val="1"/>
        </w:numPr>
        <w:tabs>
          <w:tab w:val="left" w:pos="917"/>
          <w:tab w:val="left" w:pos="918"/>
        </w:tabs>
        <w:spacing w:before="148"/>
        <w:ind w:left="917" w:hanging="361"/>
        <w:rPr>
          <w:u w:val="none"/>
        </w:rPr>
      </w:pPr>
      <w:r>
        <w:t>SUBAPPALTO:</w:t>
      </w:r>
    </w:p>
    <w:p w:rsidR="002E0ABB" w:rsidRDefault="001479DE">
      <w:pPr>
        <w:pStyle w:val="Corpotesto"/>
        <w:spacing w:before="16" w:line="211" w:lineRule="auto"/>
        <w:ind w:right="325"/>
        <w:jc w:val="both"/>
      </w:pPr>
      <w:r>
        <w:t xml:space="preserve">L’Impresa potrà subappaltare le prestazioni contrattuali dietro autorizzazione dell’INFN, e in conformità all’art. 105 del d.lgs. 50/2016 e s.m.i. solo se lo avrà dichiarato </w:t>
      </w:r>
      <w:r>
        <w:rPr>
          <w:u w:val="single"/>
        </w:rPr>
        <w:t>in sede di offerta</w:t>
      </w:r>
      <w:r>
        <w:t xml:space="preserve">. </w:t>
      </w:r>
      <w:r>
        <w:t>La percentuale del 40% prevista dalla legge, nei limiti della quale è ammesso il subappalto, risulta congrua per la fornitura oggetto dell’appalto in considerazione della necessità di non parcellizzare l’appalto, trattandosi in particolare di una fornitura</w:t>
      </w:r>
      <w:r>
        <w:t xml:space="preserve"> ad esclusivo scopo di ricerca scientifica.</w:t>
      </w:r>
    </w:p>
    <w:p w:rsidR="002E0ABB" w:rsidRDefault="002E0ABB">
      <w:pPr>
        <w:pStyle w:val="Corpotesto"/>
        <w:ind w:left="0"/>
        <w:rPr>
          <w:sz w:val="22"/>
        </w:rPr>
      </w:pPr>
    </w:p>
    <w:p w:rsidR="002E0ABB" w:rsidRDefault="001479DE">
      <w:pPr>
        <w:pStyle w:val="Titolo2"/>
        <w:numPr>
          <w:ilvl w:val="0"/>
          <w:numId w:val="1"/>
        </w:numPr>
        <w:tabs>
          <w:tab w:val="left" w:pos="917"/>
          <w:tab w:val="left" w:pos="918"/>
        </w:tabs>
        <w:spacing w:before="133" w:line="221" w:lineRule="exact"/>
        <w:ind w:left="917" w:hanging="361"/>
        <w:rPr>
          <w:u w:val="none"/>
        </w:rPr>
      </w:pPr>
      <w:r>
        <w:t>DIVIETO CESSIONE</w:t>
      </w:r>
      <w:r>
        <w:rPr>
          <w:spacing w:val="5"/>
        </w:rPr>
        <w:t xml:space="preserve"> </w:t>
      </w:r>
      <w:r>
        <w:t>CONTRATTO:</w:t>
      </w:r>
    </w:p>
    <w:p w:rsidR="002E0ABB" w:rsidRDefault="001479DE">
      <w:pPr>
        <w:pStyle w:val="Corpotesto"/>
        <w:spacing w:line="221" w:lineRule="exact"/>
        <w:jc w:val="both"/>
      </w:pPr>
      <w:r>
        <w:t>E’ fatto divieto all’Impresa di cedere, a qualsiasi titolo, il contratto, a pena di nullità della cessione medesima.</w:t>
      </w:r>
    </w:p>
    <w:p w:rsidR="002E0ABB" w:rsidRDefault="002E0ABB">
      <w:pPr>
        <w:pStyle w:val="Corpotesto"/>
        <w:ind w:left="0"/>
        <w:rPr>
          <w:sz w:val="22"/>
        </w:rPr>
      </w:pPr>
    </w:p>
    <w:p w:rsidR="002E0ABB" w:rsidRDefault="001479DE">
      <w:pPr>
        <w:pStyle w:val="Titolo2"/>
        <w:numPr>
          <w:ilvl w:val="0"/>
          <w:numId w:val="1"/>
        </w:numPr>
        <w:tabs>
          <w:tab w:val="left" w:pos="917"/>
          <w:tab w:val="left" w:pos="918"/>
        </w:tabs>
        <w:spacing w:before="194"/>
        <w:ind w:left="917" w:hanging="361"/>
        <w:rPr>
          <w:u w:val="none"/>
        </w:rPr>
      </w:pPr>
      <w:r>
        <w:t>OBBLIGHI DELL’APPALTATORE:</w:t>
      </w:r>
    </w:p>
    <w:p w:rsidR="002E0ABB" w:rsidRDefault="001479DE">
      <w:pPr>
        <w:pStyle w:val="Corpotesto"/>
        <w:spacing w:before="16" w:line="211" w:lineRule="auto"/>
        <w:ind w:right="326"/>
        <w:jc w:val="both"/>
      </w:pPr>
      <w:r>
        <w:t>L’Impresa</w:t>
      </w:r>
      <w:r>
        <w:rPr>
          <w:spacing w:val="-4"/>
        </w:rPr>
        <w:t xml:space="preserve"> </w:t>
      </w:r>
      <w:r>
        <w:t>si</w:t>
      </w:r>
      <w:r>
        <w:rPr>
          <w:spacing w:val="-8"/>
        </w:rPr>
        <w:t xml:space="preserve"> </w:t>
      </w:r>
      <w:r>
        <w:t>impegna</w:t>
      </w:r>
      <w:r>
        <w:rPr>
          <w:spacing w:val="-3"/>
        </w:rPr>
        <w:t xml:space="preserve"> </w:t>
      </w:r>
      <w:r>
        <w:t>ad</w:t>
      </w:r>
      <w:r>
        <w:rPr>
          <w:spacing w:val="-5"/>
        </w:rPr>
        <w:t xml:space="preserve"> </w:t>
      </w:r>
      <w:r>
        <w:t>ottemperare</w:t>
      </w:r>
      <w:r>
        <w:rPr>
          <w:spacing w:val="-8"/>
        </w:rPr>
        <w:t xml:space="preserve"> </w:t>
      </w:r>
      <w:r>
        <w:t>a</w:t>
      </w:r>
      <w:r>
        <w:rPr>
          <w:spacing w:val="-3"/>
        </w:rPr>
        <w:t xml:space="preserve"> </w:t>
      </w:r>
      <w:r>
        <w:t>tutti</w:t>
      </w:r>
      <w:r>
        <w:rPr>
          <w:spacing w:val="-4"/>
        </w:rPr>
        <w:t xml:space="preserve"> </w:t>
      </w:r>
      <w:r>
        <w:t>gli</w:t>
      </w:r>
      <w:r>
        <w:rPr>
          <w:spacing w:val="-3"/>
        </w:rPr>
        <w:t xml:space="preserve"> </w:t>
      </w:r>
      <w:r>
        <w:t>obblighi</w:t>
      </w:r>
      <w:r>
        <w:rPr>
          <w:spacing w:val="-8"/>
        </w:rPr>
        <w:t xml:space="preserve"> </w:t>
      </w:r>
      <w:r>
        <w:t>derivanti</w:t>
      </w:r>
      <w:r>
        <w:rPr>
          <w:spacing w:val="-4"/>
        </w:rPr>
        <w:t xml:space="preserve"> </w:t>
      </w:r>
      <w:r>
        <w:rPr>
          <w:spacing w:val="-3"/>
        </w:rPr>
        <w:t xml:space="preserve">da </w:t>
      </w:r>
      <w:r>
        <w:t>disposizioni</w:t>
      </w:r>
      <w:r>
        <w:rPr>
          <w:spacing w:val="-8"/>
        </w:rPr>
        <w:t xml:space="preserve"> </w:t>
      </w:r>
      <w:r>
        <w:t>legislative</w:t>
      </w:r>
      <w:r>
        <w:rPr>
          <w:spacing w:val="-8"/>
        </w:rPr>
        <w:t xml:space="preserve"> </w:t>
      </w:r>
      <w:r>
        <w:t>e</w:t>
      </w:r>
      <w:r>
        <w:rPr>
          <w:spacing w:val="-7"/>
        </w:rPr>
        <w:t xml:space="preserve"> </w:t>
      </w:r>
      <w:r>
        <w:t>regolamentari vigenti in materia di retribuzione, previdenza e</w:t>
      </w:r>
      <w:r>
        <w:rPr>
          <w:spacing w:val="30"/>
        </w:rPr>
        <w:t xml:space="preserve"> </w:t>
      </w:r>
      <w:r>
        <w:t>assistenza.</w:t>
      </w:r>
    </w:p>
    <w:p w:rsidR="002E0ABB" w:rsidRDefault="001479DE">
      <w:pPr>
        <w:pStyle w:val="Corpotesto"/>
        <w:spacing w:line="192" w:lineRule="exact"/>
        <w:jc w:val="both"/>
      </w:pPr>
      <w:r>
        <w:t>L’Impresa si obbliga, inoltre, all’osservanza delle norme in materia di sicurezza sul lavoro, ai sensi del d.lgs.</w:t>
      </w:r>
    </w:p>
    <w:p w:rsidR="002E0ABB" w:rsidRDefault="001479DE">
      <w:pPr>
        <w:pStyle w:val="Corpotesto"/>
        <w:spacing w:before="8" w:line="211" w:lineRule="auto"/>
        <w:ind w:right="326"/>
        <w:jc w:val="both"/>
      </w:pPr>
      <w:r>
        <w:t>n. 81/20</w:t>
      </w:r>
      <w:r>
        <w:t>08 e s.m.i. L’Impresa si obbliga, per quanto compatibile, a far osservare ai propri dipendenti e Collaboratori il Codice di comportamento in materia di anticorruzione del personale INFN, pubblicato nella sezione “Amministrazione trasparente” del sito istit</w:t>
      </w:r>
      <w:r>
        <w:t>uzionale INFN. Nelle ipotesi di grave violazione delle disposizioni ivi contenute, l’INFN si riserva la facoltà di risolvere il contratto.</w:t>
      </w:r>
    </w:p>
    <w:p w:rsidR="002E0ABB" w:rsidRDefault="001479DE">
      <w:pPr>
        <w:pStyle w:val="Corpotesto"/>
        <w:spacing w:line="183" w:lineRule="exact"/>
        <w:jc w:val="both"/>
      </w:pPr>
      <w:r>
        <w:t>L’Impresa si obbliga al rispetto delle disposizioni di cui all’art. 53, comma 16-ter del d.lgs. n. 165/2001 e</w:t>
      </w:r>
    </w:p>
    <w:p w:rsidR="002E0ABB" w:rsidRDefault="001479DE">
      <w:pPr>
        <w:pStyle w:val="Corpotesto"/>
        <w:spacing w:before="7" w:line="216" w:lineRule="auto"/>
        <w:ind w:right="326"/>
        <w:jc w:val="both"/>
      </w:pPr>
      <w:r>
        <w:t xml:space="preserve">s.m.i. </w:t>
      </w:r>
      <w:r>
        <w:t>in materia di conferimento di incarichi o contratti di lavoro ad ex dipendenti INFN, pena l’obbligo di restituzione dei compensi illegittimamente percepiti ed accertati in esecuzione dell’affidamento.</w:t>
      </w:r>
    </w:p>
    <w:p w:rsidR="002E0ABB" w:rsidRDefault="002E0ABB">
      <w:pPr>
        <w:pStyle w:val="Corpotesto"/>
        <w:ind w:left="0"/>
        <w:rPr>
          <w:sz w:val="22"/>
        </w:rPr>
      </w:pPr>
    </w:p>
    <w:p w:rsidR="002E0ABB" w:rsidRDefault="002E0ABB">
      <w:pPr>
        <w:pStyle w:val="Corpotesto"/>
        <w:spacing w:before="6"/>
        <w:ind w:left="0"/>
      </w:pPr>
    </w:p>
    <w:p w:rsidR="002E0ABB" w:rsidRDefault="001479DE">
      <w:pPr>
        <w:pStyle w:val="Titolo2"/>
        <w:numPr>
          <w:ilvl w:val="0"/>
          <w:numId w:val="1"/>
        </w:numPr>
        <w:tabs>
          <w:tab w:val="left" w:pos="918"/>
        </w:tabs>
        <w:ind w:left="917" w:hanging="361"/>
        <w:rPr>
          <w:u w:val="none"/>
        </w:rPr>
      </w:pPr>
      <w:r>
        <w:t>VERIFICA DI</w:t>
      </w:r>
      <w:r>
        <w:rPr>
          <w:spacing w:val="1"/>
        </w:rPr>
        <w:t xml:space="preserve"> </w:t>
      </w:r>
      <w:r>
        <w:t>CONFORMITA’:</w:t>
      </w:r>
    </w:p>
    <w:p w:rsidR="002E0ABB" w:rsidRDefault="001479DE">
      <w:pPr>
        <w:pStyle w:val="Corpotesto"/>
        <w:spacing w:before="15" w:line="211" w:lineRule="auto"/>
        <w:ind w:right="326"/>
        <w:jc w:val="both"/>
      </w:pPr>
      <w:r>
        <w:t>La</w:t>
      </w:r>
      <w:r>
        <w:rPr>
          <w:spacing w:val="-8"/>
        </w:rPr>
        <w:t xml:space="preserve"> </w:t>
      </w:r>
      <w:r>
        <w:t>verifica</w:t>
      </w:r>
      <w:r>
        <w:rPr>
          <w:spacing w:val="-4"/>
        </w:rPr>
        <w:t xml:space="preserve"> </w:t>
      </w:r>
      <w:r>
        <w:t>della</w:t>
      </w:r>
      <w:r>
        <w:rPr>
          <w:spacing w:val="-7"/>
        </w:rPr>
        <w:t xml:space="preserve"> </w:t>
      </w:r>
      <w:r>
        <w:t>conformità</w:t>
      </w:r>
      <w:r>
        <w:rPr>
          <w:spacing w:val="-8"/>
        </w:rPr>
        <w:t xml:space="preserve"> </w:t>
      </w:r>
      <w:r>
        <w:t>delle</w:t>
      </w:r>
      <w:r>
        <w:rPr>
          <w:spacing w:val="-8"/>
        </w:rPr>
        <w:t xml:space="preserve"> </w:t>
      </w:r>
      <w:r>
        <w:t>prestazioni</w:t>
      </w:r>
      <w:r>
        <w:rPr>
          <w:spacing w:val="-8"/>
        </w:rPr>
        <w:t xml:space="preserve"> </w:t>
      </w:r>
      <w:r>
        <w:t>eseguite</w:t>
      </w:r>
      <w:r>
        <w:rPr>
          <w:spacing w:val="-8"/>
        </w:rPr>
        <w:t xml:space="preserve"> </w:t>
      </w:r>
      <w:r>
        <w:t>a</w:t>
      </w:r>
      <w:r>
        <w:rPr>
          <w:spacing w:val="-8"/>
        </w:rPr>
        <w:t xml:space="preserve"> </w:t>
      </w:r>
      <w:r>
        <w:rPr>
          <w:spacing w:val="-2"/>
        </w:rPr>
        <w:t>quelle</w:t>
      </w:r>
      <w:r>
        <w:rPr>
          <w:spacing w:val="-3"/>
        </w:rPr>
        <w:t xml:space="preserve"> </w:t>
      </w:r>
      <w:r>
        <w:t>pattuite</w:t>
      </w:r>
      <w:r>
        <w:rPr>
          <w:spacing w:val="-8"/>
        </w:rPr>
        <w:t xml:space="preserve"> </w:t>
      </w:r>
      <w:r>
        <w:t>sarà</w:t>
      </w:r>
      <w:r>
        <w:rPr>
          <w:spacing w:val="-8"/>
        </w:rPr>
        <w:t xml:space="preserve"> </w:t>
      </w:r>
      <w:r>
        <w:t>effettuata</w:t>
      </w:r>
      <w:r>
        <w:rPr>
          <w:spacing w:val="-8"/>
        </w:rPr>
        <w:t xml:space="preserve"> </w:t>
      </w:r>
      <w:r>
        <w:t>a</w:t>
      </w:r>
      <w:r>
        <w:rPr>
          <w:spacing w:val="-11"/>
        </w:rPr>
        <w:t xml:space="preserve"> </w:t>
      </w:r>
      <w:r>
        <w:t>cura</w:t>
      </w:r>
      <w:r>
        <w:rPr>
          <w:spacing w:val="-8"/>
        </w:rPr>
        <w:t xml:space="preserve"> </w:t>
      </w:r>
      <w:r>
        <w:t>del</w:t>
      </w:r>
      <w:r>
        <w:rPr>
          <w:spacing w:val="-8"/>
        </w:rPr>
        <w:t xml:space="preserve"> </w:t>
      </w:r>
      <w:r>
        <w:t>RUP</w:t>
      </w:r>
      <w:r>
        <w:rPr>
          <w:spacing w:val="-11"/>
        </w:rPr>
        <w:t xml:space="preserve"> </w:t>
      </w:r>
      <w:r>
        <w:t>ai</w:t>
      </w:r>
      <w:r>
        <w:rPr>
          <w:spacing w:val="-3"/>
        </w:rPr>
        <w:t xml:space="preserve"> </w:t>
      </w:r>
      <w:r>
        <w:t xml:space="preserve">sensi dell’art. 102, comma </w:t>
      </w:r>
      <w:r>
        <w:rPr>
          <w:spacing w:val="-3"/>
        </w:rPr>
        <w:t xml:space="preserve">2, </w:t>
      </w:r>
      <w:r>
        <w:t xml:space="preserve">del d.lgs. n. 50/2016 e s.m.i. entro 30 giorni dalla data </w:t>
      </w:r>
      <w:r>
        <w:rPr>
          <w:spacing w:val="-3"/>
        </w:rPr>
        <w:t xml:space="preserve">di </w:t>
      </w:r>
      <w:r>
        <w:t>consegna della fornitura oggetto del</w:t>
      </w:r>
      <w:r>
        <w:rPr>
          <w:spacing w:val="-4"/>
        </w:rPr>
        <w:t xml:space="preserve"> </w:t>
      </w:r>
      <w:r>
        <w:t>contratto.</w:t>
      </w:r>
    </w:p>
    <w:p w:rsidR="002E0ABB" w:rsidRDefault="002E0ABB">
      <w:pPr>
        <w:pStyle w:val="Corpotesto"/>
        <w:ind w:left="0"/>
        <w:rPr>
          <w:sz w:val="22"/>
        </w:rPr>
      </w:pPr>
    </w:p>
    <w:p w:rsidR="002E0ABB" w:rsidRDefault="001479DE">
      <w:pPr>
        <w:pStyle w:val="Titolo2"/>
        <w:numPr>
          <w:ilvl w:val="0"/>
          <w:numId w:val="1"/>
        </w:numPr>
        <w:tabs>
          <w:tab w:val="left" w:pos="918"/>
        </w:tabs>
        <w:spacing w:before="130" w:line="221" w:lineRule="exact"/>
        <w:ind w:left="917" w:hanging="361"/>
        <w:rPr>
          <w:u w:val="none"/>
        </w:rPr>
      </w:pPr>
      <w:r>
        <w:t>FATTURAZIONE E</w:t>
      </w:r>
      <w:r>
        <w:rPr>
          <w:spacing w:val="-2"/>
        </w:rPr>
        <w:t xml:space="preserve"> </w:t>
      </w:r>
      <w:r>
        <w:t>PAGAMENTI:</w:t>
      </w:r>
    </w:p>
    <w:p w:rsidR="002E0ABB" w:rsidRDefault="001479DE">
      <w:pPr>
        <w:pStyle w:val="Corpotesto"/>
        <w:spacing w:before="13" w:line="211" w:lineRule="auto"/>
        <w:ind w:right="325"/>
        <w:jc w:val="both"/>
      </w:pPr>
      <w:r>
        <w:t>Le fatture, da emettersi in formato elettronico, dovranno essere trasmesse tramite il sistema di Interscambio dell’Agenzia delle Entrate utilizzando il Codice Univoco Ufficio: 833SC9</w:t>
      </w:r>
    </w:p>
    <w:p w:rsidR="002E0ABB" w:rsidRDefault="001479DE">
      <w:pPr>
        <w:pStyle w:val="Corpotesto"/>
        <w:spacing w:before="7" w:line="237" w:lineRule="auto"/>
        <w:ind w:left="951" w:right="219"/>
        <w:jc w:val="both"/>
      </w:pPr>
      <w:r>
        <w:t>Il</w:t>
      </w:r>
      <w:r>
        <w:rPr>
          <w:spacing w:val="-3"/>
        </w:rPr>
        <w:t xml:space="preserve"> </w:t>
      </w:r>
      <w:r>
        <w:t>pagamento</w:t>
      </w:r>
      <w:r>
        <w:rPr>
          <w:spacing w:val="-3"/>
        </w:rPr>
        <w:t xml:space="preserve"> </w:t>
      </w:r>
      <w:r>
        <w:t>in</w:t>
      </w:r>
      <w:r>
        <w:rPr>
          <w:spacing w:val="-4"/>
        </w:rPr>
        <w:t xml:space="preserve"> </w:t>
      </w:r>
      <w:r>
        <w:t>unica</w:t>
      </w:r>
      <w:r>
        <w:rPr>
          <w:spacing w:val="3"/>
        </w:rPr>
        <w:t xml:space="preserve"> </w:t>
      </w:r>
      <w:r>
        <w:t>soluzione</w:t>
      </w:r>
      <w:r>
        <w:rPr>
          <w:spacing w:val="-3"/>
        </w:rPr>
        <w:t xml:space="preserve"> </w:t>
      </w:r>
      <w:r>
        <w:t>è</w:t>
      </w:r>
      <w:r>
        <w:rPr>
          <w:spacing w:val="-2"/>
        </w:rPr>
        <w:t xml:space="preserve"> </w:t>
      </w:r>
      <w:r>
        <w:t>effettuato</w:t>
      </w:r>
      <w:r>
        <w:rPr>
          <w:spacing w:val="-9"/>
        </w:rPr>
        <w:t xml:space="preserve"> </w:t>
      </w:r>
      <w:r>
        <w:t>entro</w:t>
      </w:r>
      <w:r>
        <w:rPr>
          <w:spacing w:val="-3"/>
        </w:rPr>
        <w:t xml:space="preserve"> </w:t>
      </w:r>
      <w:r>
        <w:t>30</w:t>
      </w:r>
      <w:r>
        <w:rPr>
          <w:spacing w:val="-4"/>
        </w:rPr>
        <w:t xml:space="preserve"> </w:t>
      </w:r>
      <w:r>
        <w:t>giorni</w:t>
      </w:r>
      <w:r>
        <w:rPr>
          <w:spacing w:val="-2"/>
        </w:rPr>
        <w:t xml:space="preserve"> </w:t>
      </w:r>
      <w:r>
        <w:t>dall’esito</w:t>
      </w:r>
      <w:r>
        <w:rPr>
          <w:spacing w:val="-3"/>
        </w:rPr>
        <w:t xml:space="preserve"> </w:t>
      </w:r>
      <w:r>
        <w:t>p</w:t>
      </w:r>
      <w:r>
        <w:t>ositivo</w:t>
      </w:r>
      <w:r>
        <w:rPr>
          <w:spacing w:val="-4"/>
        </w:rPr>
        <w:t xml:space="preserve"> </w:t>
      </w:r>
      <w:r>
        <w:t>del</w:t>
      </w:r>
      <w:r>
        <w:rPr>
          <w:spacing w:val="-7"/>
        </w:rPr>
        <w:t xml:space="preserve"> </w:t>
      </w:r>
      <w:r>
        <w:t>collaudo</w:t>
      </w:r>
      <w:r>
        <w:rPr>
          <w:spacing w:val="-4"/>
        </w:rPr>
        <w:t xml:space="preserve"> </w:t>
      </w:r>
      <w:r>
        <w:t>o</w:t>
      </w:r>
      <w:r>
        <w:rPr>
          <w:spacing w:val="-3"/>
        </w:rPr>
        <w:t xml:space="preserve"> </w:t>
      </w:r>
      <w:r>
        <w:t>della</w:t>
      </w:r>
      <w:r>
        <w:rPr>
          <w:spacing w:val="2"/>
        </w:rPr>
        <w:t xml:space="preserve"> </w:t>
      </w:r>
      <w:r>
        <w:t>verifica</w:t>
      </w:r>
      <w:r>
        <w:rPr>
          <w:spacing w:val="-2"/>
        </w:rPr>
        <w:t xml:space="preserve"> </w:t>
      </w:r>
      <w:r>
        <w:rPr>
          <w:spacing w:val="-3"/>
        </w:rPr>
        <w:t xml:space="preserve">di </w:t>
      </w:r>
      <w:r>
        <w:t xml:space="preserve">conformità, mediante bonifico su conto corrente dedicato del quale l’Impresa si obbliga a garantire la tracciabilità ai sensi della L. 136/2010 e s.m.i., previa emissione contestuale </w:t>
      </w:r>
      <w:r>
        <w:rPr>
          <w:spacing w:val="-3"/>
        </w:rPr>
        <w:t xml:space="preserve">da </w:t>
      </w:r>
      <w:r>
        <w:t>parte del Rup, o al massimo e</w:t>
      </w:r>
      <w:r>
        <w:t>ntro 7 giorni, del certificato di pagamento, ai fini dell’emissione della fattura da parte</w:t>
      </w:r>
      <w:r>
        <w:rPr>
          <w:spacing w:val="-29"/>
        </w:rPr>
        <w:t xml:space="preserve"> </w:t>
      </w:r>
      <w:r>
        <w:t>dell’appaltatore.</w:t>
      </w:r>
    </w:p>
    <w:p w:rsidR="002E0ABB" w:rsidRDefault="001479DE">
      <w:pPr>
        <w:pStyle w:val="Corpotesto"/>
        <w:spacing w:before="4"/>
        <w:ind w:left="951"/>
        <w:jc w:val="both"/>
      </w:pPr>
      <w:r>
        <w:t>Il pagamento sarà, inoltre, subordinato alla verifica della regolarità contributiva e fiscale dell’Impresa.</w:t>
      </w:r>
    </w:p>
    <w:p w:rsidR="002E0ABB" w:rsidRDefault="001479DE">
      <w:pPr>
        <w:pStyle w:val="Corpotesto"/>
        <w:spacing w:before="1"/>
        <w:ind w:left="951" w:right="217"/>
        <w:jc w:val="both"/>
      </w:pPr>
      <w:r>
        <w:t>Per le fatture emesse dal 1° luglio 201</w:t>
      </w:r>
      <w:r>
        <w:t>7 si applica il meccanismo dello split payment ex art. 17-ter D.P.R. 622/1972 (art. 1 D.L. 50/2017).</w:t>
      </w:r>
    </w:p>
    <w:p w:rsidR="002E0ABB" w:rsidRDefault="001479DE">
      <w:pPr>
        <w:pStyle w:val="Corpotesto"/>
        <w:spacing w:before="197" w:line="216" w:lineRule="exact"/>
        <w:jc w:val="both"/>
      </w:pPr>
      <w:r>
        <w:t>Si precisa che le suddette fatture dovranno riportare i seguenti dati:</w:t>
      </w:r>
    </w:p>
    <w:p w:rsidR="002E0ABB" w:rsidRDefault="001479DE">
      <w:pPr>
        <w:pStyle w:val="Corpotesto"/>
        <w:spacing w:line="202" w:lineRule="exact"/>
        <w:ind w:left="936"/>
        <w:jc w:val="both"/>
      </w:pPr>
      <w:r>
        <w:t>PON R&amp;I 2014-2020</w:t>
      </w:r>
    </w:p>
    <w:p w:rsidR="002E0ABB" w:rsidRDefault="001479DE">
      <w:pPr>
        <w:pStyle w:val="Corpotesto"/>
        <w:spacing w:line="204" w:lineRule="exact"/>
        <w:jc w:val="both"/>
      </w:pPr>
      <w:r>
        <w:t>Avviso 424/2018 Azione II.1</w:t>
      </w:r>
    </w:p>
    <w:p w:rsidR="002E0ABB" w:rsidRPr="0094688F" w:rsidRDefault="001479DE">
      <w:pPr>
        <w:pStyle w:val="Corpotesto"/>
        <w:spacing w:before="11" w:line="211" w:lineRule="auto"/>
        <w:ind w:right="3960"/>
        <w:rPr>
          <w:lang w:val="it-IT"/>
        </w:rPr>
      </w:pPr>
      <w:r w:rsidRPr="0094688F">
        <w:rPr>
          <w:lang w:val="it-IT"/>
        </w:rPr>
        <w:t>Progetto PIR01_00011 I.Bi.S.Co. CUP I6</w:t>
      </w:r>
      <w:r w:rsidRPr="0094688F">
        <w:rPr>
          <w:lang w:val="it-IT"/>
        </w:rPr>
        <w:t xml:space="preserve">6C18000100006 CIG </w:t>
      </w:r>
      <w:r w:rsidR="0094688F" w:rsidRPr="0094688F">
        <w:rPr>
          <w:lang w:val="it-IT"/>
        </w:rPr>
        <w:t>82562064B9</w:t>
      </w:r>
      <w:bookmarkStart w:id="0" w:name="_GoBack"/>
      <w:bookmarkEnd w:id="0"/>
    </w:p>
    <w:p w:rsidR="002E0ABB" w:rsidRPr="0094688F" w:rsidRDefault="002E0ABB">
      <w:pPr>
        <w:pStyle w:val="Corpotesto"/>
        <w:spacing w:before="8"/>
        <w:ind w:left="0"/>
        <w:rPr>
          <w:sz w:val="31"/>
          <w:lang w:val="it-IT"/>
        </w:rPr>
      </w:pPr>
    </w:p>
    <w:p w:rsidR="002E0ABB" w:rsidRDefault="001479DE">
      <w:pPr>
        <w:pStyle w:val="Titolo2"/>
        <w:numPr>
          <w:ilvl w:val="0"/>
          <w:numId w:val="1"/>
        </w:numPr>
        <w:tabs>
          <w:tab w:val="left" w:pos="918"/>
        </w:tabs>
        <w:ind w:left="917" w:hanging="361"/>
        <w:rPr>
          <w:u w:val="none"/>
        </w:rPr>
      </w:pPr>
      <w:r>
        <w:t>RISOLUZIONE PER INADEMPIMENTO E</w:t>
      </w:r>
      <w:r>
        <w:rPr>
          <w:spacing w:val="-1"/>
        </w:rPr>
        <w:t xml:space="preserve"> </w:t>
      </w:r>
      <w:r>
        <w:t>RECESSO:</w:t>
      </w:r>
    </w:p>
    <w:p w:rsidR="002E0ABB" w:rsidRDefault="001479DE">
      <w:pPr>
        <w:pStyle w:val="Corpotesto"/>
        <w:spacing w:before="16" w:line="211" w:lineRule="auto"/>
        <w:ind w:right="320"/>
        <w:jc w:val="both"/>
      </w:pPr>
      <w:r>
        <w:t>Nel caso di inadempimento delle obbligazioni contrattuali l’INFN si riserva il diritto di risolvere il contratto ai sensi e per gli effetti dell’art. 1453 c.c., con comunicazione scritta da inviarsi con raccomandata a/r, con un preavviso di 20 (venti) gior</w:t>
      </w:r>
      <w:r>
        <w:t>ni.</w:t>
      </w:r>
    </w:p>
    <w:p w:rsidR="002E0ABB" w:rsidRDefault="001479DE">
      <w:pPr>
        <w:pStyle w:val="Corpotesto"/>
        <w:spacing w:before="2" w:line="211" w:lineRule="auto"/>
        <w:ind w:right="325"/>
        <w:jc w:val="both"/>
      </w:pPr>
      <w:r>
        <w:t>Restano</w:t>
      </w:r>
      <w:r>
        <w:rPr>
          <w:spacing w:val="-14"/>
        </w:rPr>
        <w:t xml:space="preserve"> </w:t>
      </w:r>
      <w:r>
        <w:t>in</w:t>
      </w:r>
      <w:r>
        <w:rPr>
          <w:spacing w:val="-13"/>
        </w:rPr>
        <w:t xml:space="preserve"> </w:t>
      </w:r>
      <w:r>
        <w:t>ogni</w:t>
      </w:r>
      <w:r>
        <w:rPr>
          <w:spacing w:val="-11"/>
        </w:rPr>
        <w:t xml:space="preserve"> </w:t>
      </w:r>
      <w:r>
        <w:t>caso</w:t>
      </w:r>
      <w:r>
        <w:rPr>
          <w:spacing w:val="-18"/>
        </w:rPr>
        <w:t xml:space="preserve"> </w:t>
      </w:r>
      <w:r>
        <w:t>impregiudicati</w:t>
      </w:r>
      <w:r>
        <w:rPr>
          <w:spacing w:val="-12"/>
        </w:rPr>
        <w:t xml:space="preserve"> </w:t>
      </w:r>
      <w:r>
        <w:t>i</w:t>
      </w:r>
      <w:r>
        <w:rPr>
          <w:spacing w:val="-11"/>
        </w:rPr>
        <w:t xml:space="preserve"> </w:t>
      </w:r>
      <w:r>
        <w:t>diritti</w:t>
      </w:r>
      <w:r>
        <w:rPr>
          <w:spacing w:val="-11"/>
        </w:rPr>
        <w:t xml:space="preserve"> </w:t>
      </w:r>
      <w:r>
        <w:t>dell’INFN</w:t>
      </w:r>
      <w:r>
        <w:rPr>
          <w:spacing w:val="-16"/>
        </w:rPr>
        <w:t xml:space="preserve"> </w:t>
      </w:r>
      <w:r>
        <w:t>al</w:t>
      </w:r>
      <w:r>
        <w:rPr>
          <w:spacing w:val="-11"/>
        </w:rPr>
        <w:t xml:space="preserve"> </w:t>
      </w:r>
      <w:r>
        <w:t>risarcimento</w:t>
      </w:r>
      <w:r>
        <w:rPr>
          <w:spacing w:val="-13"/>
        </w:rPr>
        <w:t xml:space="preserve"> </w:t>
      </w:r>
      <w:r>
        <w:t>di</w:t>
      </w:r>
      <w:r>
        <w:rPr>
          <w:spacing w:val="-13"/>
        </w:rPr>
        <w:t xml:space="preserve"> </w:t>
      </w:r>
      <w:r>
        <w:t>eventuali</w:t>
      </w:r>
      <w:r>
        <w:rPr>
          <w:spacing w:val="-11"/>
        </w:rPr>
        <w:t xml:space="preserve"> </w:t>
      </w:r>
      <w:r>
        <w:t>danni</w:t>
      </w:r>
      <w:r>
        <w:rPr>
          <w:spacing w:val="-16"/>
        </w:rPr>
        <w:t xml:space="preserve"> </w:t>
      </w:r>
      <w:r>
        <w:t>e</w:t>
      </w:r>
      <w:r>
        <w:rPr>
          <w:spacing w:val="-11"/>
        </w:rPr>
        <w:t xml:space="preserve"> </w:t>
      </w:r>
      <w:r>
        <w:t>all’incameramento della garanzia</w:t>
      </w:r>
      <w:r>
        <w:rPr>
          <w:spacing w:val="2"/>
        </w:rPr>
        <w:t xml:space="preserve"> </w:t>
      </w:r>
      <w:r>
        <w:t>definitiva.</w:t>
      </w:r>
    </w:p>
    <w:p w:rsidR="002E0ABB" w:rsidRDefault="001479DE">
      <w:pPr>
        <w:pStyle w:val="Corpotesto"/>
        <w:spacing w:line="211" w:lineRule="auto"/>
        <w:ind w:right="320"/>
        <w:jc w:val="both"/>
      </w:pPr>
      <w:r>
        <w:t>L’INFN si riserva, inoltre, il diritto di recedere unilateralmente dal contratto in qualsiasi momento, con un prea</w:t>
      </w:r>
      <w:r>
        <w:t>vviso di almeno 20 (venti) giorni da comunicarsi all’Impresa mediante raccomandata a/r.</w:t>
      </w:r>
    </w:p>
    <w:p w:rsidR="002E0ABB" w:rsidRDefault="001479DE">
      <w:pPr>
        <w:pStyle w:val="Corpotesto"/>
        <w:spacing w:line="206" w:lineRule="exact"/>
        <w:jc w:val="both"/>
      </w:pPr>
      <w:r>
        <w:t>In caso di recesso all’Impresa spetterà il corrispettivo limitatamente alla prestazione eseguita e al decimo</w:t>
      </w:r>
    </w:p>
    <w:p w:rsidR="002E0ABB" w:rsidRDefault="002E0ABB">
      <w:pPr>
        <w:spacing w:line="206" w:lineRule="exact"/>
        <w:jc w:val="both"/>
        <w:sectPr w:rsidR="002E0ABB">
          <w:pgSz w:w="11900" w:h="16840"/>
          <w:pgMar w:top="1500" w:right="1080" w:bottom="1180" w:left="940" w:header="0" w:footer="985" w:gutter="0"/>
          <w:cols w:space="720"/>
        </w:sectPr>
      </w:pPr>
    </w:p>
    <w:p w:rsidR="002E0ABB" w:rsidRDefault="001479DE">
      <w:pPr>
        <w:pStyle w:val="Corpotesto"/>
        <w:spacing w:before="100" w:line="211" w:lineRule="auto"/>
        <w:ind w:right="227"/>
      </w:pPr>
      <w:r>
        <w:lastRenderedPageBreak/>
        <w:t>dell’importo delle forniture non eseguiti</w:t>
      </w:r>
      <w:r>
        <w:t xml:space="preserve"> ai sensi dell’art. 109 del d.lgs. n. 50/2016 e s.m.i., secondo i corrispettivi e le condizioni previsti nel contratto.</w:t>
      </w:r>
    </w:p>
    <w:p w:rsidR="002E0ABB" w:rsidRDefault="002E0ABB">
      <w:pPr>
        <w:pStyle w:val="Corpotesto"/>
        <w:ind w:left="0"/>
        <w:rPr>
          <w:sz w:val="22"/>
        </w:rPr>
      </w:pPr>
    </w:p>
    <w:p w:rsidR="002E0ABB" w:rsidRDefault="001479DE">
      <w:pPr>
        <w:pStyle w:val="Titolo2"/>
        <w:numPr>
          <w:ilvl w:val="0"/>
          <w:numId w:val="1"/>
        </w:numPr>
        <w:tabs>
          <w:tab w:val="left" w:pos="918"/>
        </w:tabs>
        <w:spacing w:before="160" w:line="240" w:lineRule="auto"/>
        <w:ind w:left="917" w:hanging="361"/>
        <w:rPr>
          <w:u w:val="none"/>
        </w:rPr>
      </w:pPr>
      <w:r>
        <w:t>GARANZIA:</w:t>
      </w:r>
    </w:p>
    <w:p w:rsidR="002E0ABB" w:rsidRDefault="001479DE">
      <w:pPr>
        <w:pStyle w:val="Corpotesto"/>
        <w:spacing w:before="114" w:line="211" w:lineRule="auto"/>
        <w:ind w:right="640"/>
      </w:pPr>
      <w:r>
        <w:t>Per i beni oggetto del contratto, in base agli artt. 1490 e 1495 del c.c., l’appaltatore dovrà fornire idonea garanzia, non i</w:t>
      </w:r>
      <w:r>
        <w:t>nferiore a 12 mesi.</w:t>
      </w:r>
    </w:p>
    <w:p w:rsidR="002E0ABB" w:rsidRDefault="002E0ABB">
      <w:pPr>
        <w:pStyle w:val="Corpotesto"/>
        <w:ind w:left="0"/>
        <w:rPr>
          <w:sz w:val="22"/>
        </w:rPr>
      </w:pPr>
    </w:p>
    <w:p w:rsidR="002E0ABB" w:rsidRDefault="001479DE">
      <w:pPr>
        <w:pStyle w:val="Titolo2"/>
        <w:numPr>
          <w:ilvl w:val="0"/>
          <w:numId w:val="1"/>
        </w:numPr>
        <w:tabs>
          <w:tab w:val="left" w:pos="918"/>
        </w:tabs>
        <w:spacing w:before="150"/>
        <w:ind w:left="917" w:hanging="361"/>
        <w:rPr>
          <w:u w:val="none"/>
        </w:rPr>
      </w:pPr>
      <w:r>
        <w:t>FORO</w:t>
      </w:r>
      <w:r>
        <w:rPr>
          <w:spacing w:val="8"/>
        </w:rPr>
        <w:t xml:space="preserve"> </w:t>
      </w:r>
      <w:r>
        <w:t>COMPETENTE:</w:t>
      </w:r>
    </w:p>
    <w:p w:rsidR="002E0ABB" w:rsidRDefault="001479DE">
      <w:pPr>
        <w:pStyle w:val="Corpotesto"/>
        <w:spacing w:before="16" w:line="211" w:lineRule="auto"/>
        <w:ind w:right="839"/>
      </w:pPr>
      <w:r>
        <w:t>Per eventuali controversie tra le Parti inerenti al Contratto, sarà competente in via esclusiva il Foro di Roma.</w:t>
      </w:r>
    </w:p>
    <w:p w:rsidR="002E0ABB" w:rsidRDefault="001479DE">
      <w:pPr>
        <w:pStyle w:val="Titolo2"/>
        <w:numPr>
          <w:ilvl w:val="0"/>
          <w:numId w:val="1"/>
        </w:numPr>
        <w:tabs>
          <w:tab w:val="left" w:pos="918"/>
        </w:tabs>
        <w:spacing w:before="187" w:line="240" w:lineRule="auto"/>
        <w:ind w:left="917" w:hanging="361"/>
        <w:rPr>
          <w:u w:val="none"/>
        </w:rPr>
      </w:pPr>
      <w:r>
        <w:t>TRATTAMENTO DEI DATI</w:t>
      </w:r>
      <w:r>
        <w:rPr>
          <w:spacing w:val="-1"/>
        </w:rPr>
        <w:t xml:space="preserve"> </w:t>
      </w:r>
      <w:r>
        <w:t>PERSONALI</w:t>
      </w:r>
      <w:r>
        <w:rPr>
          <w:u w:val="none"/>
        </w:rPr>
        <w:t>:</w:t>
      </w:r>
    </w:p>
    <w:p w:rsidR="002E0ABB" w:rsidRDefault="001479DE">
      <w:pPr>
        <w:pStyle w:val="Corpotesto"/>
        <w:spacing w:before="85" w:line="211" w:lineRule="auto"/>
        <w:ind w:right="322"/>
        <w:jc w:val="both"/>
      </w:pPr>
      <w:r>
        <w:t>I</w:t>
      </w:r>
      <w:r>
        <w:rPr>
          <w:spacing w:val="-5"/>
        </w:rPr>
        <w:t xml:space="preserve"> </w:t>
      </w:r>
      <w:r>
        <w:t>dati</w:t>
      </w:r>
      <w:r>
        <w:rPr>
          <w:spacing w:val="-9"/>
        </w:rPr>
        <w:t xml:space="preserve"> </w:t>
      </w:r>
      <w:r>
        <w:t>personali</w:t>
      </w:r>
      <w:r>
        <w:rPr>
          <w:spacing w:val="-8"/>
        </w:rPr>
        <w:t xml:space="preserve"> </w:t>
      </w:r>
      <w:r>
        <w:t>saranno</w:t>
      </w:r>
      <w:r>
        <w:rPr>
          <w:spacing w:val="-9"/>
        </w:rPr>
        <w:t xml:space="preserve"> </w:t>
      </w:r>
      <w:r>
        <w:t>raccolti</w:t>
      </w:r>
      <w:r>
        <w:rPr>
          <w:spacing w:val="-9"/>
        </w:rPr>
        <w:t xml:space="preserve"> </w:t>
      </w:r>
      <w:r>
        <w:t>e</w:t>
      </w:r>
      <w:r>
        <w:rPr>
          <w:spacing w:val="-12"/>
        </w:rPr>
        <w:t xml:space="preserve"> </w:t>
      </w:r>
      <w:r>
        <w:t>trattati</w:t>
      </w:r>
      <w:r>
        <w:rPr>
          <w:spacing w:val="-8"/>
        </w:rPr>
        <w:t xml:space="preserve"> </w:t>
      </w:r>
      <w:r>
        <w:t>unicamente</w:t>
      </w:r>
      <w:r>
        <w:rPr>
          <w:spacing w:val="-9"/>
        </w:rPr>
        <w:t xml:space="preserve"> </w:t>
      </w:r>
      <w:r>
        <w:t>per</w:t>
      </w:r>
      <w:r>
        <w:rPr>
          <w:spacing w:val="-9"/>
        </w:rPr>
        <w:t xml:space="preserve"> </w:t>
      </w:r>
      <w:r>
        <w:t>la</w:t>
      </w:r>
      <w:r>
        <w:rPr>
          <w:spacing w:val="-9"/>
        </w:rPr>
        <w:t xml:space="preserve"> </w:t>
      </w:r>
      <w:r>
        <w:t>gestione</w:t>
      </w:r>
      <w:r>
        <w:rPr>
          <w:spacing w:val="-12"/>
        </w:rPr>
        <w:t xml:space="preserve"> </w:t>
      </w:r>
      <w:r>
        <w:t>dell’attività</w:t>
      </w:r>
      <w:r>
        <w:rPr>
          <w:spacing w:val="-8"/>
        </w:rPr>
        <w:t xml:space="preserve"> </w:t>
      </w:r>
      <w:r>
        <w:t>di</w:t>
      </w:r>
      <w:r>
        <w:rPr>
          <w:spacing w:val="-9"/>
        </w:rPr>
        <w:t xml:space="preserve"> </w:t>
      </w:r>
      <w:r>
        <w:t>gara.</w:t>
      </w:r>
      <w:r>
        <w:rPr>
          <w:spacing w:val="-12"/>
        </w:rPr>
        <w:t xml:space="preserve"> </w:t>
      </w:r>
      <w:r>
        <w:t>L’INFN</w:t>
      </w:r>
      <w:r>
        <w:rPr>
          <w:spacing w:val="-11"/>
        </w:rPr>
        <w:t xml:space="preserve"> </w:t>
      </w:r>
      <w:r>
        <w:t>si</w:t>
      </w:r>
      <w:r>
        <w:rPr>
          <w:spacing w:val="-12"/>
        </w:rPr>
        <w:t xml:space="preserve"> </w:t>
      </w:r>
      <w:r>
        <w:t xml:space="preserve">conforma al Regolamento </w:t>
      </w:r>
      <w:r>
        <w:rPr>
          <w:spacing w:val="-4"/>
        </w:rPr>
        <w:t xml:space="preserve">UE </w:t>
      </w:r>
      <w:r>
        <w:t>2016/679 sulla privacy. Responsabile del trattamento dei dati: Direttore della Struttura di Napoli</w:t>
      </w:r>
      <w:r>
        <w:rPr>
          <w:spacing w:val="2"/>
        </w:rPr>
        <w:t xml:space="preserve"> </w:t>
      </w:r>
      <w:r>
        <w:t>dell’INFN.</w:t>
      </w:r>
    </w:p>
    <w:p w:rsidR="002E0ABB" w:rsidRDefault="002E0ABB">
      <w:pPr>
        <w:pStyle w:val="Corpotesto"/>
        <w:ind w:left="0"/>
        <w:rPr>
          <w:sz w:val="22"/>
        </w:rPr>
      </w:pPr>
    </w:p>
    <w:p w:rsidR="002E0ABB" w:rsidRDefault="002E0ABB">
      <w:pPr>
        <w:pStyle w:val="Corpotesto"/>
        <w:ind w:left="0"/>
        <w:rPr>
          <w:sz w:val="22"/>
        </w:rPr>
      </w:pPr>
    </w:p>
    <w:p w:rsidR="002E0ABB" w:rsidRDefault="002E0ABB">
      <w:pPr>
        <w:pStyle w:val="Corpotesto"/>
        <w:ind w:left="0"/>
        <w:rPr>
          <w:sz w:val="22"/>
        </w:rPr>
      </w:pPr>
    </w:p>
    <w:p w:rsidR="002E0ABB" w:rsidRDefault="002E0ABB">
      <w:pPr>
        <w:pStyle w:val="Corpotesto"/>
        <w:spacing w:before="1"/>
        <w:ind w:left="0"/>
        <w:rPr>
          <w:sz w:val="29"/>
        </w:rPr>
      </w:pPr>
    </w:p>
    <w:p w:rsidR="002E0ABB" w:rsidRDefault="001479DE">
      <w:pPr>
        <w:pStyle w:val="Corpotesto"/>
        <w:ind w:left="3382" w:right="1542"/>
        <w:jc w:val="center"/>
      </w:pPr>
      <w:r>
        <w:t>Il RUP</w:t>
      </w:r>
    </w:p>
    <w:p w:rsidR="002E0ABB" w:rsidRDefault="001479DE">
      <w:pPr>
        <w:pStyle w:val="Corpotesto"/>
        <w:spacing w:before="174"/>
        <w:ind w:left="4896"/>
      </w:pPr>
      <w:r>
        <w:t>(Dott. Gianpaolo Carlino)</w:t>
      </w:r>
    </w:p>
    <w:p w:rsidR="002E0ABB" w:rsidRDefault="001479DE">
      <w:pPr>
        <w:pStyle w:val="Corpotesto"/>
        <w:spacing w:before="2"/>
        <w:ind w:left="0"/>
        <w:rPr>
          <w:sz w:val="17"/>
        </w:rPr>
      </w:pPr>
      <w:r>
        <w:rPr>
          <w:noProof/>
        </w:rPr>
        <w:drawing>
          <wp:anchor distT="0" distB="0" distL="0" distR="0" simplePos="0" relativeHeight="251658240" behindDoc="0" locked="0" layoutInCell="1" allowOverlap="1">
            <wp:simplePos x="0" y="0"/>
            <wp:positionH relativeFrom="page">
              <wp:posOffset>3552079</wp:posOffset>
            </wp:positionH>
            <wp:positionV relativeFrom="paragraph">
              <wp:posOffset>150640</wp:posOffset>
            </wp:positionV>
            <wp:extent cx="1687512" cy="207264"/>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stretch>
                      <a:fillRect/>
                    </a:stretch>
                  </pic:blipFill>
                  <pic:spPr>
                    <a:xfrm>
                      <a:off x="0" y="0"/>
                      <a:ext cx="1687512" cy="207264"/>
                    </a:xfrm>
                    <a:prstGeom prst="rect">
                      <a:avLst/>
                    </a:prstGeom>
                  </pic:spPr>
                </pic:pic>
              </a:graphicData>
            </a:graphic>
          </wp:anchor>
        </w:drawing>
      </w:r>
    </w:p>
    <w:sectPr w:rsidR="002E0ABB">
      <w:pgSz w:w="11900" w:h="16840"/>
      <w:pgMar w:top="300" w:right="1080" w:bottom="1180" w:left="94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9DE" w:rsidRDefault="001479DE">
      <w:r>
        <w:separator/>
      </w:r>
    </w:p>
  </w:endnote>
  <w:endnote w:type="continuationSeparator" w:id="0">
    <w:p w:rsidR="001479DE" w:rsidRDefault="0014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BoldItalicMT">
    <w:altName w:val="Times New Roman"/>
    <w:panose1 w:val="02020703060505090304"/>
    <w:charset w:val="00"/>
    <w:family w:val="roman"/>
    <w:pitch w:val="variable"/>
  </w:font>
  <w:font w:name="Times-BoldItalic">
    <w:altName w:val="Times"/>
    <w:panose1 w:val="00000800000000090000"/>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ABB" w:rsidRDefault="001479DE">
    <w:pPr>
      <w:pStyle w:val="Corpotesto"/>
      <w:spacing w:line="14" w:lineRule="auto"/>
      <w:ind w:left="0"/>
    </w:pPr>
    <w:r>
      <w:rPr>
        <w:noProof/>
      </w:rPr>
      <w:drawing>
        <wp:anchor distT="0" distB="0" distL="0" distR="0" simplePos="0" relativeHeight="251433984" behindDoc="1" locked="0" layoutInCell="1" allowOverlap="1">
          <wp:simplePos x="0" y="0"/>
          <wp:positionH relativeFrom="page">
            <wp:posOffset>761365</wp:posOffset>
          </wp:positionH>
          <wp:positionV relativeFrom="page">
            <wp:posOffset>10005695</wp:posOffset>
          </wp:positionV>
          <wp:extent cx="327202" cy="357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7202" cy="357504"/>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alt="" style="position:absolute;margin-left:96.7pt;margin-top:781.95pt;width:113.9pt;height:33.35pt;z-index:-251881472;mso-wrap-style:square;mso-wrap-edited:f;mso-width-percent:0;mso-height-percent:0;mso-position-horizontal-relative:page;mso-position-vertical-relative:page;mso-width-percent:0;mso-height-percent:0;v-text-anchor:top" filled="f" stroked="f">
          <v:textbox inset="0,0,0,0">
            <w:txbxContent>
              <w:p w:rsidR="002E0ABB" w:rsidRDefault="001479DE">
                <w:pPr>
                  <w:spacing w:before="16" w:line="244" w:lineRule="auto"/>
                  <w:ind w:left="20" w:right="147"/>
                  <w:rPr>
                    <w:rFonts w:ascii="Arial"/>
                    <w:sz w:val="18"/>
                  </w:rPr>
                </w:pPr>
                <w:r>
                  <w:rPr>
                    <w:rFonts w:ascii="Arial"/>
                    <w:color w:val="404040"/>
                    <w:sz w:val="18"/>
                  </w:rPr>
                  <w:t>Istituto Nazionale di Fisica Nucleare</w:t>
                </w:r>
              </w:p>
              <w:p w:rsidR="002E0ABB" w:rsidRDefault="001479DE">
                <w:pPr>
                  <w:ind w:left="20"/>
                  <w:rPr>
                    <w:rFonts w:ascii="Arial"/>
                    <w:sz w:val="18"/>
                  </w:rPr>
                </w:pPr>
                <w:r>
                  <w:rPr>
                    <w:rFonts w:ascii="Arial"/>
                    <w:color w:val="404040"/>
                    <w:sz w:val="18"/>
                  </w:rPr>
                  <w:t>codice fiscale 84001850589</w:t>
                </w:r>
              </w:p>
            </w:txbxContent>
          </v:textbox>
          <w10:wrap anchorx="page" anchory="page"/>
        </v:shape>
      </w:pict>
    </w:r>
    <w:r>
      <w:pict>
        <v:shape id="_x0000_s2050" type="#_x0000_t202" alt="" style="position:absolute;margin-left:233.25pt;margin-top:781.75pt;width:311.15pt;height:17.7pt;z-index:-251880448;mso-wrap-style:square;mso-wrap-edited:f;mso-width-percent:0;mso-height-percent:0;mso-position-horizontal-relative:page;mso-position-vertical-relative:page;mso-width-percent:0;mso-height-percent:0;v-text-anchor:top" filled="f" stroked="f">
          <v:textbox inset="0,0,0,0">
            <w:txbxContent>
              <w:p w:rsidR="002E0ABB" w:rsidRDefault="001479DE">
                <w:pPr>
                  <w:spacing w:before="17" w:line="235" w:lineRule="auto"/>
                  <w:ind w:left="58" w:hanging="38"/>
                  <w:rPr>
                    <w:rFonts w:ascii="Arial" w:hAnsi="Arial"/>
                    <w:sz w:val="14"/>
                  </w:rPr>
                </w:pPr>
                <w:r>
                  <w:rPr>
                    <w:rFonts w:ascii="Arial" w:hAnsi="Arial"/>
                    <w:color w:val="262626"/>
                    <w:sz w:val="14"/>
                  </w:rPr>
                  <w:t>Sezione</w:t>
                </w:r>
                <w:r>
                  <w:rPr>
                    <w:rFonts w:ascii="Arial" w:hAnsi="Arial"/>
                    <w:color w:val="262626"/>
                    <w:spacing w:val="-10"/>
                    <w:sz w:val="14"/>
                  </w:rPr>
                  <w:t xml:space="preserve"> </w:t>
                </w:r>
                <w:r>
                  <w:rPr>
                    <w:rFonts w:ascii="Arial" w:hAnsi="Arial"/>
                    <w:color w:val="262626"/>
                    <w:sz w:val="14"/>
                  </w:rPr>
                  <w:t>di</w:t>
                </w:r>
                <w:r>
                  <w:rPr>
                    <w:rFonts w:ascii="Arial" w:hAnsi="Arial"/>
                    <w:color w:val="262626"/>
                    <w:spacing w:val="-15"/>
                    <w:sz w:val="14"/>
                  </w:rPr>
                  <w:t xml:space="preserve"> </w:t>
                </w:r>
                <w:r>
                  <w:rPr>
                    <w:rFonts w:ascii="Arial" w:hAnsi="Arial"/>
                    <w:color w:val="262626"/>
                    <w:sz w:val="14"/>
                  </w:rPr>
                  <w:t>Napoli</w:t>
                </w:r>
                <w:r>
                  <w:rPr>
                    <w:rFonts w:ascii="Arial" w:hAnsi="Arial"/>
                    <w:color w:val="262626"/>
                    <w:spacing w:val="-16"/>
                    <w:sz w:val="14"/>
                  </w:rPr>
                  <w:t xml:space="preserve"> </w:t>
                </w:r>
                <w:r>
                  <w:rPr>
                    <w:rFonts w:ascii="Arial" w:hAnsi="Arial"/>
                    <w:color w:val="262626"/>
                    <w:sz w:val="14"/>
                  </w:rPr>
                  <w:t>–</w:t>
                </w:r>
                <w:r>
                  <w:rPr>
                    <w:rFonts w:ascii="Arial" w:hAnsi="Arial"/>
                    <w:color w:val="262626"/>
                    <w:spacing w:val="-8"/>
                    <w:sz w:val="14"/>
                  </w:rPr>
                  <w:t xml:space="preserve"> </w:t>
                </w:r>
                <w:r>
                  <w:rPr>
                    <w:rFonts w:ascii="Arial" w:hAnsi="Arial"/>
                    <w:color w:val="262626"/>
                    <w:sz w:val="14"/>
                  </w:rPr>
                  <w:t>Complesso</w:t>
                </w:r>
                <w:r>
                  <w:rPr>
                    <w:rFonts w:ascii="Arial" w:hAnsi="Arial"/>
                    <w:color w:val="262626"/>
                    <w:spacing w:val="-14"/>
                    <w:sz w:val="14"/>
                  </w:rPr>
                  <w:t xml:space="preserve"> </w:t>
                </w:r>
                <w:r>
                  <w:rPr>
                    <w:rFonts w:ascii="Arial" w:hAnsi="Arial"/>
                    <w:color w:val="262626"/>
                    <w:sz w:val="14"/>
                  </w:rPr>
                  <w:t>Universitario</w:t>
                </w:r>
                <w:r>
                  <w:rPr>
                    <w:rFonts w:ascii="Arial" w:hAnsi="Arial"/>
                    <w:color w:val="262626"/>
                    <w:spacing w:val="-10"/>
                    <w:sz w:val="14"/>
                  </w:rPr>
                  <w:t xml:space="preserve"> </w:t>
                </w:r>
                <w:r>
                  <w:rPr>
                    <w:rFonts w:ascii="Arial" w:hAnsi="Arial"/>
                    <w:color w:val="262626"/>
                    <w:sz w:val="14"/>
                  </w:rPr>
                  <w:t>di</w:t>
                </w:r>
                <w:r>
                  <w:rPr>
                    <w:rFonts w:ascii="Arial" w:hAnsi="Arial"/>
                    <w:color w:val="262626"/>
                    <w:spacing w:val="-10"/>
                    <w:sz w:val="14"/>
                  </w:rPr>
                  <w:t xml:space="preserve"> </w:t>
                </w:r>
                <w:r>
                  <w:rPr>
                    <w:rFonts w:ascii="Arial" w:hAnsi="Arial"/>
                    <w:color w:val="262626"/>
                    <w:sz w:val="14"/>
                  </w:rPr>
                  <w:t>Monte</w:t>
                </w:r>
                <w:r>
                  <w:rPr>
                    <w:rFonts w:ascii="Arial" w:hAnsi="Arial"/>
                    <w:color w:val="262626"/>
                    <w:spacing w:val="-9"/>
                    <w:sz w:val="14"/>
                  </w:rPr>
                  <w:t xml:space="preserve"> </w:t>
                </w:r>
                <w:r>
                  <w:rPr>
                    <w:rFonts w:ascii="Arial" w:hAnsi="Arial"/>
                    <w:color w:val="262626"/>
                    <w:sz w:val="14"/>
                  </w:rPr>
                  <w:t>S.</w:t>
                </w:r>
                <w:r>
                  <w:rPr>
                    <w:rFonts w:ascii="Arial" w:hAnsi="Arial"/>
                    <w:color w:val="262626"/>
                    <w:spacing w:val="-4"/>
                    <w:sz w:val="14"/>
                  </w:rPr>
                  <w:t xml:space="preserve"> </w:t>
                </w:r>
                <w:r>
                  <w:rPr>
                    <w:rFonts w:ascii="Arial" w:hAnsi="Arial"/>
                    <w:color w:val="262626"/>
                    <w:sz w:val="14"/>
                  </w:rPr>
                  <w:t>Angelo</w:t>
                </w:r>
                <w:r>
                  <w:rPr>
                    <w:rFonts w:ascii="Arial" w:hAnsi="Arial"/>
                    <w:color w:val="262626"/>
                    <w:spacing w:val="-10"/>
                    <w:sz w:val="14"/>
                  </w:rPr>
                  <w:t xml:space="preserve"> </w:t>
                </w:r>
                <w:r>
                  <w:rPr>
                    <w:rFonts w:ascii="Arial" w:hAnsi="Arial"/>
                    <w:color w:val="262626"/>
                    <w:sz w:val="14"/>
                  </w:rPr>
                  <w:t>Ed.</w:t>
                </w:r>
                <w:r>
                  <w:rPr>
                    <w:rFonts w:ascii="Arial" w:hAnsi="Arial"/>
                    <w:color w:val="262626"/>
                    <w:spacing w:val="-9"/>
                    <w:sz w:val="14"/>
                  </w:rPr>
                  <w:t xml:space="preserve"> </w:t>
                </w:r>
                <w:r>
                  <w:rPr>
                    <w:rFonts w:ascii="Arial" w:hAnsi="Arial"/>
                    <w:color w:val="262626"/>
                    <w:sz w:val="14"/>
                  </w:rPr>
                  <w:t>6</w:t>
                </w:r>
                <w:r>
                  <w:rPr>
                    <w:rFonts w:ascii="Arial" w:hAnsi="Arial"/>
                    <w:color w:val="262626"/>
                    <w:spacing w:val="-9"/>
                    <w:sz w:val="14"/>
                  </w:rPr>
                  <w:t xml:space="preserve"> </w:t>
                </w:r>
                <w:r>
                  <w:rPr>
                    <w:rFonts w:ascii="Arial" w:hAnsi="Arial"/>
                    <w:color w:val="262626"/>
                    <w:sz w:val="14"/>
                  </w:rPr>
                  <w:t>Via</w:t>
                </w:r>
                <w:r>
                  <w:rPr>
                    <w:rFonts w:ascii="Arial" w:hAnsi="Arial"/>
                    <w:color w:val="262626"/>
                    <w:spacing w:val="-13"/>
                    <w:sz w:val="14"/>
                  </w:rPr>
                  <w:t xml:space="preserve"> </w:t>
                </w:r>
                <w:r>
                  <w:rPr>
                    <w:rFonts w:ascii="Arial" w:hAnsi="Arial"/>
                    <w:color w:val="262626"/>
                    <w:sz w:val="14"/>
                  </w:rPr>
                  <w:t>Cintia</w:t>
                </w:r>
                <w:r>
                  <w:rPr>
                    <w:rFonts w:ascii="Arial" w:hAnsi="Arial"/>
                    <w:color w:val="262626"/>
                    <w:spacing w:val="-9"/>
                    <w:sz w:val="14"/>
                  </w:rPr>
                  <w:t xml:space="preserve"> </w:t>
                </w:r>
                <w:r>
                  <w:rPr>
                    <w:rFonts w:ascii="Arial" w:hAnsi="Arial"/>
                    <w:color w:val="262626"/>
                    <w:sz w:val="14"/>
                  </w:rPr>
                  <w:t>-</w:t>
                </w:r>
                <w:r>
                  <w:rPr>
                    <w:rFonts w:ascii="Arial" w:hAnsi="Arial"/>
                    <w:color w:val="262626"/>
                    <w:spacing w:val="-7"/>
                    <w:sz w:val="14"/>
                  </w:rPr>
                  <w:t xml:space="preserve"> </w:t>
                </w:r>
                <w:r>
                  <w:rPr>
                    <w:rFonts w:ascii="Arial" w:hAnsi="Arial"/>
                    <w:color w:val="262626"/>
                    <w:sz w:val="14"/>
                  </w:rPr>
                  <w:t>80126</w:t>
                </w:r>
                <w:r>
                  <w:rPr>
                    <w:rFonts w:ascii="Arial" w:hAnsi="Arial"/>
                    <w:color w:val="262626"/>
                    <w:spacing w:val="-9"/>
                    <w:sz w:val="14"/>
                  </w:rPr>
                  <w:t xml:space="preserve"> </w:t>
                </w:r>
                <w:r>
                  <w:rPr>
                    <w:rFonts w:ascii="Arial" w:hAnsi="Arial"/>
                    <w:color w:val="262626"/>
                    <w:sz w:val="14"/>
                  </w:rPr>
                  <w:t>Napoli</w:t>
                </w:r>
                <w:r>
                  <w:rPr>
                    <w:rFonts w:ascii="Arial" w:hAnsi="Arial"/>
                    <w:color w:val="262626"/>
                    <w:spacing w:val="-10"/>
                    <w:sz w:val="14"/>
                  </w:rPr>
                  <w:t xml:space="preserve"> </w:t>
                </w:r>
                <w:r>
                  <w:rPr>
                    <w:rFonts w:ascii="Arial" w:hAnsi="Arial"/>
                    <w:color w:val="262626"/>
                    <w:sz w:val="14"/>
                  </w:rPr>
                  <w:t xml:space="preserve">(Italia </w:t>
                </w:r>
                <w:r>
                  <w:rPr>
                    <w:rFonts w:ascii="Arial" w:hAnsi="Arial"/>
                    <w:color w:val="0000FF"/>
                    <w:sz w:val="14"/>
                    <w:u w:val="single" w:color="0000FF"/>
                  </w:rPr>
                  <w:t>https://</w:t>
                </w:r>
                <w:hyperlink r:id="rId2">
                  <w:r>
                    <w:rPr>
                      <w:rFonts w:ascii="Arial" w:hAnsi="Arial"/>
                      <w:color w:val="0000FF"/>
                      <w:sz w:val="14"/>
                      <w:u w:val="single" w:color="0000FF"/>
                    </w:rPr>
                    <w:t>www.na.infn.</w:t>
                  </w:r>
                  <w:r>
                    <w:rPr>
                      <w:rFonts w:ascii="Arial" w:hAnsi="Arial"/>
                      <w:color w:val="0000FF"/>
                      <w:sz w:val="14"/>
                    </w:rPr>
                    <w:t xml:space="preserve">it </w:t>
                  </w:r>
                </w:hyperlink>
                <w:r>
                  <w:rPr>
                    <w:rFonts w:ascii="Arial" w:hAnsi="Arial"/>
                    <w:color w:val="262626"/>
                    <w:sz w:val="14"/>
                  </w:rPr>
                  <w:t>- PEC:</w:t>
                </w:r>
                <w:r>
                  <w:rPr>
                    <w:rFonts w:ascii="Arial" w:hAnsi="Arial"/>
                    <w:color w:val="262626"/>
                    <w:spacing w:val="-2"/>
                    <w:sz w:val="14"/>
                  </w:rPr>
                  <w:t xml:space="preserve"> </w:t>
                </w:r>
                <w:hyperlink r:id="rId3">
                  <w:r>
                    <w:rPr>
                      <w:rFonts w:ascii="Arial" w:hAnsi="Arial"/>
                      <w:color w:val="262626"/>
                      <w:sz w:val="14"/>
                    </w:rPr>
                    <w:t>napoli@pec.infn.it</w:t>
                  </w:r>
                </w:hyperlink>
              </w:p>
            </w:txbxContent>
          </v:textbox>
          <w10:wrap anchorx="page" anchory="page"/>
        </v:shape>
      </w:pict>
    </w:r>
    <w:r>
      <w:pict>
        <v:shape id="_x0000_s2049" type="#_x0000_t202" alt="" style="position:absolute;margin-left:495.3pt;margin-top:817.95pt;width:36.2pt;height:10.8pt;z-index:-251879424;mso-wrap-style:square;mso-wrap-edited:f;mso-width-percent:0;mso-height-percent:0;mso-position-horizontal-relative:page;mso-position-vertical-relative:page;mso-width-percent:0;mso-height-percent:0;v-text-anchor:top" filled="f" stroked="f">
          <v:textbox inset="0,0,0,0">
            <w:txbxContent>
              <w:p w:rsidR="002E0ABB" w:rsidRDefault="001479DE">
                <w:pPr>
                  <w:spacing w:before="11"/>
                  <w:ind w:left="20"/>
                  <w:rPr>
                    <w:i/>
                    <w:sz w:val="16"/>
                  </w:rPr>
                </w:pPr>
                <w:r>
                  <w:rPr>
                    <w:i/>
                    <w:sz w:val="16"/>
                  </w:rPr>
                  <w:t>pag. 3 di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9DE" w:rsidRDefault="001479DE">
      <w:r>
        <w:separator/>
      </w:r>
    </w:p>
  </w:footnote>
  <w:footnote w:type="continuationSeparator" w:id="0">
    <w:p w:rsidR="001479DE" w:rsidRDefault="00147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253E8"/>
    <w:multiLevelType w:val="hybridMultilevel"/>
    <w:tmpl w:val="56A09124"/>
    <w:lvl w:ilvl="0" w:tplc="AE30E7F2">
      <w:start w:val="1"/>
      <w:numFmt w:val="decimal"/>
      <w:lvlText w:val="%1."/>
      <w:lvlJc w:val="left"/>
      <w:pPr>
        <w:ind w:left="912" w:hanging="356"/>
        <w:jc w:val="left"/>
      </w:pPr>
      <w:rPr>
        <w:rFonts w:hint="default"/>
        <w:b/>
        <w:bCs/>
        <w:w w:val="100"/>
      </w:rPr>
    </w:lvl>
    <w:lvl w:ilvl="1" w:tplc="F452B478">
      <w:numFmt w:val="bullet"/>
      <w:lvlText w:val="•"/>
      <w:lvlJc w:val="left"/>
      <w:pPr>
        <w:ind w:left="1816" w:hanging="356"/>
      </w:pPr>
      <w:rPr>
        <w:rFonts w:hint="default"/>
      </w:rPr>
    </w:lvl>
    <w:lvl w:ilvl="2" w:tplc="034CCDBA">
      <w:numFmt w:val="bullet"/>
      <w:lvlText w:val="•"/>
      <w:lvlJc w:val="left"/>
      <w:pPr>
        <w:ind w:left="2712" w:hanging="356"/>
      </w:pPr>
      <w:rPr>
        <w:rFonts w:hint="default"/>
      </w:rPr>
    </w:lvl>
    <w:lvl w:ilvl="3" w:tplc="D938CC98">
      <w:numFmt w:val="bullet"/>
      <w:lvlText w:val="•"/>
      <w:lvlJc w:val="left"/>
      <w:pPr>
        <w:ind w:left="3608" w:hanging="356"/>
      </w:pPr>
      <w:rPr>
        <w:rFonts w:hint="default"/>
      </w:rPr>
    </w:lvl>
    <w:lvl w:ilvl="4" w:tplc="5BAA24C6">
      <w:numFmt w:val="bullet"/>
      <w:lvlText w:val="•"/>
      <w:lvlJc w:val="left"/>
      <w:pPr>
        <w:ind w:left="4504" w:hanging="356"/>
      </w:pPr>
      <w:rPr>
        <w:rFonts w:hint="default"/>
      </w:rPr>
    </w:lvl>
    <w:lvl w:ilvl="5" w:tplc="3C74A134">
      <w:numFmt w:val="bullet"/>
      <w:lvlText w:val="•"/>
      <w:lvlJc w:val="left"/>
      <w:pPr>
        <w:ind w:left="5400" w:hanging="356"/>
      </w:pPr>
      <w:rPr>
        <w:rFonts w:hint="default"/>
      </w:rPr>
    </w:lvl>
    <w:lvl w:ilvl="6" w:tplc="FA3E9F70">
      <w:numFmt w:val="bullet"/>
      <w:lvlText w:val="•"/>
      <w:lvlJc w:val="left"/>
      <w:pPr>
        <w:ind w:left="6296" w:hanging="356"/>
      </w:pPr>
      <w:rPr>
        <w:rFonts w:hint="default"/>
      </w:rPr>
    </w:lvl>
    <w:lvl w:ilvl="7" w:tplc="073E53B2">
      <w:numFmt w:val="bullet"/>
      <w:lvlText w:val="•"/>
      <w:lvlJc w:val="left"/>
      <w:pPr>
        <w:ind w:left="7192" w:hanging="356"/>
      </w:pPr>
      <w:rPr>
        <w:rFonts w:hint="default"/>
      </w:rPr>
    </w:lvl>
    <w:lvl w:ilvl="8" w:tplc="4E4AC0DE">
      <w:numFmt w:val="bullet"/>
      <w:lvlText w:val="•"/>
      <w:lvlJc w:val="left"/>
      <w:pPr>
        <w:ind w:left="8088" w:hanging="35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E0ABB"/>
    <w:rsid w:val="001479DE"/>
    <w:rsid w:val="002E0ABB"/>
    <w:rsid w:val="0094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F43A83-0FA7-484F-9B03-BF478965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382" w:right="3205"/>
      <w:jc w:val="center"/>
      <w:outlineLvl w:val="0"/>
    </w:pPr>
    <w:rPr>
      <w:b/>
      <w:bCs/>
    </w:rPr>
  </w:style>
  <w:style w:type="paragraph" w:styleId="Titolo2">
    <w:name w:val="heading 2"/>
    <w:basedOn w:val="Normale"/>
    <w:uiPriority w:val="9"/>
    <w:unhideWhenUsed/>
    <w:qFormat/>
    <w:pPr>
      <w:spacing w:line="223" w:lineRule="exact"/>
      <w:ind w:left="917" w:hanging="361"/>
      <w:outlineLvl w:val="1"/>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17"/>
    </w:pPr>
    <w:rPr>
      <w:sz w:val="20"/>
      <w:szCs w:val="20"/>
    </w:rPr>
  </w:style>
  <w:style w:type="paragraph" w:styleId="Paragrafoelenco">
    <w:name w:val="List Paragraph"/>
    <w:basedOn w:val="Normale"/>
    <w:uiPriority w:val="1"/>
    <w:qFormat/>
    <w:pPr>
      <w:spacing w:line="223" w:lineRule="exact"/>
      <w:ind w:left="917" w:hanging="361"/>
    </w:pPr>
    <w:rPr>
      <w:u w:val="single" w:color="000000"/>
    </w:r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3" Type="http://schemas.openxmlformats.org/officeDocument/2006/relationships/hyperlink" Target="mailto:napoli@pec.infn.it" TargetMode="External"/><Relationship Id="rId2" Type="http://schemas.openxmlformats.org/officeDocument/2006/relationships/hyperlink" Target="http://www.na.infn.it/"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Allegato4-Condizioni_Contrattuali</dc:title>
  <dc:creator>Fausta Candiglioti</dc:creator>
  <cp:lastModifiedBy>Microsoft Office User</cp:lastModifiedBy>
  <cp:revision>2</cp:revision>
  <dcterms:created xsi:type="dcterms:W3CDTF">2020-03-24T18:01:00Z</dcterms:created>
  <dcterms:modified xsi:type="dcterms:W3CDTF">2020-03-24T18:02:00Z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Word</vt:lpwstr>
  </property>
  <property fmtid="{D5CDD505-2E9C-101B-9397-08002B2CF9AE}" pid="4" name="LastSaved">
    <vt:filetime>2020-03-24T00:00:00Z</vt:filetime>
  </property>
</Properties>
</file>