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C5" w:rsidRPr="00DE6A05" w:rsidRDefault="00DE094D" w:rsidP="00DE094D">
      <w:pPr>
        <w:jc w:val="center"/>
        <w:rPr>
          <w:b/>
          <w:noProof/>
          <w:lang w:eastAsia="it-IT"/>
        </w:rPr>
      </w:pPr>
      <w:r>
        <w:rPr>
          <w:b/>
          <w:noProof/>
        </w:rPr>
        <w:t>LA LUCE NERA</w:t>
      </w:r>
    </w:p>
    <w:p w:rsidR="00A71927" w:rsidRDefault="00A71927" w:rsidP="004C1F3E">
      <w:pPr>
        <w:rPr>
          <w:noProof/>
          <w:lang w:eastAsia="it-IT"/>
        </w:rPr>
      </w:pPr>
    </w:p>
    <w:p w:rsidR="005E7FC1" w:rsidRDefault="004274C5" w:rsidP="004C1F3E">
      <w:pPr>
        <w:rPr>
          <w:noProof/>
          <w:lang w:eastAsia="it-IT"/>
        </w:rPr>
      </w:pPr>
      <w:r w:rsidRPr="004274C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1.75pt;margin-top:.85pt;width:190.5pt;height:114.3pt;z-index:251660288;mso-width-relative:margin;mso-height-relative:margin">
            <v:textbox style="mso-next-textbox:#_x0000_s1029">
              <w:txbxContent>
                <w:p w:rsidR="007A1B56" w:rsidRDefault="007A1B56" w:rsidP="00C335C5">
                  <w:pPr>
                    <w:pStyle w:val="Nessunaspaziatura"/>
                    <w:rPr>
                      <w:b/>
                    </w:rPr>
                  </w:pPr>
                </w:p>
                <w:p w:rsidR="0096671B" w:rsidRDefault="0096671B" w:rsidP="00C335C5">
                  <w:pPr>
                    <w:pStyle w:val="Nessunaspaziatura"/>
                    <w:rPr>
                      <w:b/>
                    </w:rPr>
                  </w:pPr>
                  <w:r w:rsidRPr="00842E59">
                    <w:rPr>
                      <w:b/>
                    </w:rPr>
                    <w:t>Materiale:</w:t>
                  </w:r>
                </w:p>
                <w:p w:rsidR="004C1F3E" w:rsidRDefault="00BA3B3B" w:rsidP="00DE6A05">
                  <w:pPr>
                    <w:pStyle w:val="Paragrafoelenco"/>
                    <w:numPr>
                      <w:ilvl w:val="0"/>
                      <w:numId w:val="11"/>
                    </w:numPr>
                  </w:pPr>
                  <w:r>
                    <w:t>torcia UV</w:t>
                  </w:r>
                </w:p>
                <w:p w:rsidR="00DE6A05" w:rsidRDefault="00BA3B3B" w:rsidP="00DE6A05">
                  <w:pPr>
                    <w:pStyle w:val="Paragrafoelenco"/>
                    <w:numPr>
                      <w:ilvl w:val="0"/>
                      <w:numId w:val="11"/>
                    </w:numPr>
                  </w:pPr>
                  <w:r>
                    <w:t>acqua tonica</w:t>
                  </w:r>
                </w:p>
                <w:p w:rsidR="00BA3B3B" w:rsidRDefault="00BA3B3B" w:rsidP="00DE6A05">
                  <w:pPr>
                    <w:pStyle w:val="Paragrafoelenco"/>
                    <w:numPr>
                      <w:ilvl w:val="0"/>
                      <w:numId w:val="11"/>
                    </w:numPr>
                  </w:pPr>
                  <w:r>
                    <w:t>alcuni oggetti di plastica</w:t>
                  </w:r>
                </w:p>
                <w:p w:rsidR="00DE6A05" w:rsidRDefault="00BA3B3B" w:rsidP="00DE6A05">
                  <w:pPr>
                    <w:pStyle w:val="Paragrafoelenco"/>
                    <w:numPr>
                      <w:ilvl w:val="0"/>
                      <w:numId w:val="11"/>
                    </w:numPr>
                  </w:pPr>
                  <w:r>
                    <w:t>fogli bianchi</w:t>
                  </w:r>
                </w:p>
                <w:p w:rsidR="00DE6A05" w:rsidRPr="0096671B" w:rsidRDefault="00BA3B3B" w:rsidP="00DE6A05">
                  <w:pPr>
                    <w:pStyle w:val="Paragrafoelenco"/>
                    <w:numPr>
                      <w:ilvl w:val="0"/>
                      <w:numId w:val="11"/>
                    </w:numPr>
                  </w:pPr>
                  <w:r>
                    <w:t>banconote</w:t>
                  </w:r>
                </w:p>
              </w:txbxContent>
            </v:textbox>
          </v:shape>
        </w:pict>
      </w:r>
      <w:r w:rsidR="005E7FC1">
        <w:rPr>
          <w:noProof/>
          <w:lang w:eastAsia="it-IT"/>
        </w:rPr>
        <w:t xml:space="preserve">           </w:t>
      </w:r>
      <w:r w:rsidR="00BA3B3B">
        <w:rPr>
          <w:noProof/>
          <w:lang w:eastAsia="it-IT"/>
        </w:rPr>
        <w:drawing>
          <wp:inline distT="0" distB="0" distL="0" distR="0">
            <wp:extent cx="2506821" cy="1464197"/>
            <wp:effectExtent l="19050" t="0" r="7779" b="0"/>
            <wp:docPr id="1" name="Immagine 1" descr="Risultati immagini per esperimenti luce 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esperimenti luce u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34" cy="146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FC1" w:rsidRDefault="005E7FC1" w:rsidP="004C1F3E">
      <w:pPr>
        <w:rPr>
          <w:noProof/>
          <w:lang w:eastAsia="it-IT"/>
        </w:rPr>
      </w:pPr>
    </w:p>
    <w:p w:rsidR="00DE6A05" w:rsidRDefault="00DE6A05" w:rsidP="00DE6A05">
      <w:pPr>
        <w:pStyle w:val="Nessunaspaziatura"/>
        <w:rPr>
          <w:b/>
        </w:rPr>
      </w:pPr>
      <w:r>
        <w:rPr>
          <w:b/>
        </w:rPr>
        <w:t>Procedimento:</w:t>
      </w:r>
    </w:p>
    <w:p w:rsidR="00BA3B3B" w:rsidRDefault="00BA3B3B" w:rsidP="00BA3B3B">
      <w:pPr>
        <w:pStyle w:val="Nessunaspaziatura"/>
      </w:pPr>
      <w:r>
        <w:t>L’esperienza richiede</w:t>
      </w:r>
      <w:r w:rsidR="007A1B56">
        <w:t xml:space="preserve"> alcuni</w:t>
      </w:r>
      <w:r>
        <w:t xml:space="preserve"> particolari accorgimenti e forse il supporto di un tutor. La classe, in un’atmosfera quasi buia sarà invitata ad osservare l’effetto di un’illuminazione UV su alcuni oggetti. L’insegnante o tutor che accenderà la torcia UV avrà cura di puntarla in direzione opposta agli occhi degli osservatori e di spegnerla prima che si surriscaldi. I ragazzi non potranno disporre della torcia in modo autonomo.</w:t>
      </w:r>
    </w:p>
    <w:p w:rsidR="0074392A" w:rsidRDefault="00BA3B3B" w:rsidP="00BA3B3B">
      <w:pPr>
        <w:pStyle w:val="Nessunaspaziatura"/>
      </w:pPr>
      <w:r>
        <w:t>Saranno mostr</w:t>
      </w:r>
      <w:r w:rsidR="003525A8">
        <w:t xml:space="preserve">ati fenomeni di fluorescenza. </w:t>
      </w:r>
      <w:r w:rsidR="0074392A">
        <w:t xml:space="preserve">In particolare, si osserva e discute l’effetto della luce UV sull’acqua tonica, su fogli bianchi e sulle banconote. Perché un liquido trasparente o una superficie bianca possono cambiare colore sotto questo tipo di illuminazione? Si mostra il diverso assorbimento della luce della lampada attraverso due diverse creme e si cerca di capire quali delle due è una crema solare. </w:t>
      </w:r>
    </w:p>
    <w:p w:rsidR="00DE6A05" w:rsidRDefault="00DE6A05" w:rsidP="00DE6A05">
      <w:pPr>
        <w:pStyle w:val="Nessunaspaziatura"/>
      </w:pPr>
    </w:p>
    <w:p w:rsidR="00DE6A05" w:rsidRDefault="00DE6A05" w:rsidP="00DE6A05">
      <w:pPr>
        <w:pStyle w:val="Nessunaspaziatura"/>
        <w:rPr>
          <w:b/>
        </w:rPr>
      </w:pPr>
      <w:r>
        <w:rPr>
          <w:b/>
        </w:rPr>
        <w:t>Ipotesi e dati:</w:t>
      </w:r>
    </w:p>
    <w:p w:rsidR="003525A8" w:rsidRDefault="003525A8" w:rsidP="00DE6A05">
      <w:pPr>
        <w:pStyle w:val="Nessunaspaziatura"/>
      </w:pPr>
      <w:r w:rsidRPr="003525A8">
        <w:t xml:space="preserve">Si fanno ipotesi sulla natura della radiazione che parte dalla lampada: quale </w:t>
      </w:r>
      <w:r>
        <w:t xml:space="preserve">ne </w:t>
      </w:r>
      <w:r w:rsidRPr="003525A8">
        <w:t xml:space="preserve">sia il colore visibile e in quali altri casi </w:t>
      </w:r>
      <w:r>
        <w:t>si è stati esposti a radiazione UV. Si può introdurre la descrizione dello spettro elettromagnetico e della radiazione che precede e anticipa in termini di frequenze, la finestra del visibile.</w:t>
      </w:r>
    </w:p>
    <w:p w:rsidR="003525A8" w:rsidRPr="003525A8" w:rsidRDefault="003525A8" w:rsidP="00DE6A05">
      <w:pPr>
        <w:pStyle w:val="Nessunaspaziatura"/>
      </w:pPr>
      <w:r>
        <w:t>Si osserva l’effetto e il cambiamento di colore degli oggetti illuminati e si discute sulla natura della radiazione emessa dagli oggetti normalmente e sotto la luce UV. La variazione di colore corrisponde a una variazione di una proprietà della luce. Si ipotizza qual</w:t>
      </w:r>
      <w:r w:rsidR="007A1B56">
        <w:t>e</w:t>
      </w:r>
      <w:r>
        <w:t xml:space="preserve"> sia e si descrive la luce </w:t>
      </w:r>
      <w:r w:rsidR="007A1B56">
        <w:t xml:space="preserve">sia </w:t>
      </w:r>
      <w:r>
        <w:t>come</w:t>
      </w:r>
      <w:r w:rsidR="007A1B56">
        <w:t xml:space="preserve"> onda, sia come</w:t>
      </w:r>
      <w:r>
        <w:t xml:space="preserve"> energia in pacchetti (o quantizzata).</w:t>
      </w:r>
      <w:r w:rsidR="007A1B56">
        <w:t xml:space="preserve"> </w:t>
      </w:r>
    </w:p>
    <w:p w:rsidR="00BA3B3B" w:rsidRDefault="00BA3B3B" w:rsidP="00DE6A05">
      <w:pPr>
        <w:pStyle w:val="Nessunaspaziatura"/>
        <w:rPr>
          <w:b/>
        </w:rPr>
      </w:pPr>
    </w:p>
    <w:p w:rsidR="00CA541A" w:rsidRDefault="00CA541A" w:rsidP="00375AEE">
      <w:pPr>
        <w:pStyle w:val="Nessunaspaziatura"/>
        <w:rPr>
          <w:b/>
        </w:rPr>
      </w:pPr>
      <w:r>
        <w:rPr>
          <w:b/>
        </w:rPr>
        <w:t>Idee imparate:</w:t>
      </w:r>
    </w:p>
    <w:p w:rsidR="00375AEE" w:rsidRDefault="003525A8">
      <w:r>
        <w:t xml:space="preserve">La luce </w:t>
      </w:r>
      <w:r w:rsidR="007747F7">
        <w:t>bianca è composta da</w:t>
      </w:r>
      <w:r>
        <w:t>i tanti colori che il nostro occhio vede perché vengon</w:t>
      </w:r>
      <w:r w:rsidR="007747F7">
        <w:t>o riflessi dai corpi illuminati</w:t>
      </w:r>
      <w:r w:rsidR="007A1B56">
        <w:t>.</w:t>
      </w:r>
      <w:r>
        <w:t xml:space="preserve"> </w:t>
      </w:r>
      <w:r w:rsidR="007747F7">
        <w:t xml:space="preserve"> </w:t>
      </w:r>
      <w:r w:rsidR="00BB7E78">
        <w:t>Un limone appare giallo perché riflette il giallo e assorbe il violetto.</w:t>
      </w:r>
      <w:r w:rsidR="0074392A">
        <w:t xml:space="preserve"> </w:t>
      </w:r>
      <w:r>
        <w:t xml:space="preserve">Oltre </w:t>
      </w:r>
      <w:r w:rsidR="0074392A">
        <w:t>al</w:t>
      </w:r>
      <w:r>
        <w:t>l’intervallo da noi visibile, ci sono colori, ovvero frequenze</w:t>
      </w:r>
      <w:r w:rsidR="0074392A">
        <w:t>,</w:t>
      </w:r>
      <w:r>
        <w:t xml:space="preserve"> che non siamo capaci di percepire. </w:t>
      </w:r>
      <w:r w:rsidR="00E768BF">
        <w:t>Se illuminiamo le cose con questa luce non visibile, ci appaiono colori diversi degli oggetti. Gli elettroni degli atomi saltano a</w:t>
      </w:r>
      <w:r w:rsidR="007A1B56">
        <w:t xml:space="preserve"> livelli energetici più alti e nel tornare al livello iniziale emettono un pacchetto di energia.</w:t>
      </w:r>
    </w:p>
    <w:sectPr w:rsidR="00375AEE" w:rsidSect="00C66F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CEA"/>
    <w:multiLevelType w:val="hybridMultilevel"/>
    <w:tmpl w:val="CAB28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83C5A"/>
    <w:multiLevelType w:val="hybridMultilevel"/>
    <w:tmpl w:val="F9167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3483B"/>
    <w:multiLevelType w:val="hybridMultilevel"/>
    <w:tmpl w:val="E1B22C22"/>
    <w:lvl w:ilvl="0" w:tplc="271E1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A0E84"/>
    <w:multiLevelType w:val="hybridMultilevel"/>
    <w:tmpl w:val="02D639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375095"/>
    <w:multiLevelType w:val="hybridMultilevel"/>
    <w:tmpl w:val="A7C247E2"/>
    <w:lvl w:ilvl="0" w:tplc="24EAA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714B5"/>
    <w:multiLevelType w:val="hybridMultilevel"/>
    <w:tmpl w:val="3D426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15EB6"/>
    <w:multiLevelType w:val="hybridMultilevel"/>
    <w:tmpl w:val="4CCA6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915F4"/>
    <w:multiLevelType w:val="hybridMultilevel"/>
    <w:tmpl w:val="D0363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43953"/>
    <w:multiLevelType w:val="hybridMultilevel"/>
    <w:tmpl w:val="CCEAE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A61B4"/>
    <w:multiLevelType w:val="hybridMultilevel"/>
    <w:tmpl w:val="4A449210"/>
    <w:lvl w:ilvl="0" w:tplc="F306B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55C8F"/>
    <w:multiLevelType w:val="hybridMultilevel"/>
    <w:tmpl w:val="346454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327C9B"/>
    <w:multiLevelType w:val="hybridMultilevel"/>
    <w:tmpl w:val="41223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375AEE"/>
    <w:rsid w:val="00022459"/>
    <w:rsid w:val="00134845"/>
    <w:rsid w:val="00156D0F"/>
    <w:rsid w:val="00187C0B"/>
    <w:rsid w:val="00195CBD"/>
    <w:rsid w:val="001C69AC"/>
    <w:rsid w:val="001F31D2"/>
    <w:rsid w:val="0020465A"/>
    <w:rsid w:val="0023336B"/>
    <w:rsid w:val="00266F9B"/>
    <w:rsid w:val="00351267"/>
    <w:rsid w:val="003525A8"/>
    <w:rsid w:val="0035680A"/>
    <w:rsid w:val="00360059"/>
    <w:rsid w:val="00375AEE"/>
    <w:rsid w:val="004274C5"/>
    <w:rsid w:val="004C1F3E"/>
    <w:rsid w:val="004F2DBC"/>
    <w:rsid w:val="00501495"/>
    <w:rsid w:val="0057059D"/>
    <w:rsid w:val="00586D3F"/>
    <w:rsid w:val="00593520"/>
    <w:rsid w:val="005E4056"/>
    <w:rsid w:val="005E7FC1"/>
    <w:rsid w:val="00613DE0"/>
    <w:rsid w:val="006145FC"/>
    <w:rsid w:val="00626416"/>
    <w:rsid w:val="00666B68"/>
    <w:rsid w:val="00671133"/>
    <w:rsid w:val="006E5FF1"/>
    <w:rsid w:val="006F30FC"/>
    <w:rsid w:val="007434AA"/>
    <w:rsid w:val="0074392A"/>
    <w:rsid w:val="007747F7"/>
    <w:rsid w:val="007A1B56"/>
    <w:rsid w:val="007E0A3E"/>
    <w:rsid w:val="007F6FBF"/>
    <w:rsid w:val="007F75F9"/>
    <w:rsid w:val="00811F82"/>
    <w:rsid w:val="00842E59"/>
    <w:rsid w:val="008564A7"/>
    <w:rsid w:val="0089721C"/>
    <w:rsid w:val="008A0FF3"/>
    <w:rsid w:val="008D72C9"/>
    <w:rsid w:val="008E0F5A"/>
    <w:rsid w:val="008E66FF"/>
    <w:rsid w:val="0096671B"/>
    <w:rsid w:val="00972194"/>
    <w:rsid w:val="009D101B"/>
    <w:rsid w:val="009F6830"/>
    <w:rsid w:val="00A423BD"/>
    <w:rsid w:val="00A560C4"/>
    <w:rsid w:val="00A63409"/>
    <w:rsid w:val="00A71927"/>
    <w:rsid w:val="00A832B9"/>
    <w:rsid w:val="00AE3B1D"/>
    <w:rsid w:val="00B228D9"/>
    <w:rsid w:val="00B33A73"/>
    <w:rsid w:val="00BA3B3B"/>
    <w:rsid w:val="00BB7E78"/>
    <w:rsid w:val="00BD0F4F"/>
    <w:rsid w:val="00C2656E"/>
    <w:rsid w:val="00C335C5"/>
    <w:rsid w:val="00C423FF"/>
    <w:rsid w:val="00C66F5F"/>
    <w:rsid w:val="00CA541A"/>
    <w:rsid w:val="00D016BB"/>
    <w:rsid w:val="00D24341"/>
    <w:rsid w:val="00D50EED"/>
    <w:rsid w:val="00D619F2"/>
    <w:rsid w:val="00D66071"/>
    <w:rsid w:val="00D74E59"/>
    <w:rsid w:val="00DA457B"/>
    <w:rsid w:val="00DE094D"/>
    <w:rsid w:val="00DE6A05"/>
    <w:rsid w:val="00E041BC"/>
    <w:rsid w:val="00E726E5"/>
    <w:rsid w:val="00E768BF"/>
    <w:rsid w:val="00EC1E34"/>
    <w:rsid w:val="00F67E3A"/>
    <w:rsid w:val="00FE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6F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5AE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essunaspaziatura">
    <w:name w:val="No Spacing"/>
    <w:uiPriority w:val="1"/>
    <w:qFormat/>
    <w:rsid w:val="00375AE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AE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5A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86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alunni solestizi</dc:creator>
  <cp:keywords/>
  <dc:description/>
  <cp:lastModifiedBy>luisa alunni solestizi</cp:lastModifiedBy>
  <cp:revision>4</cp:revision>
  <dcterms:created xsi:type="dcterms:W3CDTF">2019-08-02T15:05:00Z</dcterms:created>
  <dcterms:modified xsi:type="dcterms:W3CDTF">2019-10-04T11:36:00Z</dcterms:modified>
</cp:coreProperties>
</file>