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5C" w:rsidRP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it-IT"/>
        </w:rPr>
      </w:pPr>
      <w:r w:rsidRPr="0039175C">
        <w:rPr>
          <w:rFonts w:ascii="Courier New" w:eastAsia="Times New Roman" w:hAnsi="Courier New" w:cs="Courier New"/>
          <w:color w:val="333333"/>
          <w:sz w:val="18"/>
          <w:szCs w:val="18"/>
          <w:lang w:val="en-US" w:eastAsia="it-IT"/>
        </w:rPr>
        <w:t>Title</w:t>
      </w:r>
    </w:p>
    <w:p w:rsidR="0039175C" w:rsidRP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it-IT"/>
        </w:rPr>
      </w:pPr>
    </w:p>
    <w:p w:rsidR="0039175C" w:rsidRP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it-IT"/>
        </w:rPr>
      </w:pPr>
      <w:r w:rsidRPr="0039175C">
        <w:rPr>
          <w:rFonts w:ascii="Courier New" w:eastAsia="Times New Roman" w:hAnsi="Courier New" w:cs="Courier New"/>
          <w:color w:val="333333"/>
          <w:sz w:val="18"/>
          <w:szCs w:val="18"/>
          <w:lang w:val="en-US" w:eastAsia="it-IT"/>
        </w:rPr>
        <w:t>Giant Effective charges and Piezoelectricity in Gapped Graphene</w:t>
      </w:r>
    </w:p>
    <w:p w:rsid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it-IT"/>
        </w:rPr>
      </w:pPr>
    </w:p>
    <w:p w:rsidR="0039175C" w:rsidRP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it-IT"/>
        </w:rPr>
      </w:pPr>
      <w:r>
        <w:rPr>
          <w:rFonts w:ascii="Courier New" w:eastAsia="Times New Roman" w:hAnsi="Courier New" w:cs="Courier New"/>
          <w:color w:val="333333"/>
          <w:sz w:val="18"/>
          <w:szCs w:val="18"/>
          <w:lang w:val="en-US" w:eastAsia="it-IT"/>
        </w:rPr>
        <w:t>Francesco Mauri</w:t>
      </w:r>
      <w:bookmarkStart w:id="0" w:name="_GoBack"/>
      <w:bookmarkEnd w:id="0"/>
    </w:p>
    <w:p w:rsidR="0039175C" w:rsidRP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it-IT"/>
        </w:rPr>
      </w:pPr>
    </w:p>
    <w:p w:rsidR="0039175C" w:rsidRP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it-IT"/>
        </w:rPr>
      </w:pPr>
      <w:proofErr w:type="gramStart"/>
      <w:r w:rsidRPr="0039175C">
        <w:rPr>
          <w:rFonts w:ascii="Courier New" w:eastAsia="Times New Roman" w:hAnsi="Courier New" w:cs="Courier New"/>
          <w:color w:val="333333"/>
          <w:sz w:val="18"/>
          <w:szCs w:val="18"/>
          <w:lang w:val="en-US" w:eastAsia="it-IT"/>
        </w:rPr>
        <w:t>abstract</w:t>
      </w:r>
      <w:proofErr w:type="gramEnd"/>
    </w:p>
    <w:p w:rsidR="0039175C" w:rsidRP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it-IT"/>
        </w:rPr>
      </w:pPr>
    </w:p>
    <w:p w:rsidR="0039175C" w:rsidRP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it-IT"/>
        </w:rPr>
      </w:pPr>
      <w:r w:rsidRPr="0039175C">
        <w:rPr>
          <w:rFonts w:ascii="Courier New" w:eastAsia="Times New Roman" w:hAnsi="Courier New" w:cs="Courier New"/>
          <w:color w:val="333333"/>
          <w:sz w:val="18"/>
          <w:szCs w:val="18"/>
          <w:lang w:val="en-US" w:eastAsia="it-IT"/>
        </w:rPr>
        <w:t xml:space="preserve">A single layer of ideal graphene is </w:t>
      </w:r>
      <w:proofErr w:type="gramStart"/>
      <w:r w:rsidRPr="0039175C">
        <w:rPr>
          <w:rFonts w:ascii="Courier New" w:eastAsia="Times New Roman" w:hAnsi="Courier New" w:cs="Courier New"/>
          <w:color w:val="333333"/>
          <w:sz w:val="18"/>
          <w:szCs w:val="18"/>
          <w:lang w:val="en-US" w:eastAsia="it-IT"/>
        </w:rPr>
        <w:t>an</w:t>
      </w:r>
      <w:proofErr w:type="gramEnd"/>
      <w:r w:rsidRPr="0039175C">
        <w:rPr>
          <w:rFonts w:ascii="Courier New" w:eastAsia="Times New Roman" w:hAnsi="Courier New" w:cs="Courier New"/>
          <w:color w:val="333333"/>
          <w:sz w:val="18"/>
          <w:szCs w:val="18"/>
          <w:lang w:val="en-US" w:eastAsia="it-IT"/>
        </w:rPr>
        <w:t xml:space="preserve"> </w:t>
      </w:r>
      <w:proofErr w:type="spellStart"/>
      <w:r w:rsidRPr="0039175C">
        <w:rPr>
          <w:rFonts w:ascii="Courier New" w:eastAsia="Times New Roman" w:hAnsi="Courier New" w:cs="Courier New"/>
          <w:color w:val="333333"/>
          <w:sz w:val="18"/>
          <w:szCs w:val="18"/>
          <w:lang w:val="en-US" w:eastAsia="it-IT"/>
        </w:rPr>
        <w:t>homopolar</w:t>
      </w:r>
      <w:proofErr w:type="spellEnd"/>
      <w:r w:rsidRPr="0039175C">
        <w:rPr>
          <w:rFonts w:ascii="Courier New" w:eastAsia="Times New Roman" w:hAnsi="Courier New" w:cs="Courier New"/>
          <w:color w:val="333333"/>
          <w:sz w:val="18"/>
          <w:szCs w:val="18"/>
          <w:lang w:val="en-US" w:eastAsia="it-IT"/>
        </w:rPr>
        <w:t xml:space="preserve"> material, with vanishing infrared (IR) effective charges and piezoelectricity. In </w:t>
      </w:r>
      <w:proofErr w:type="gramStart"/>
      <w:r w:rsidRPr="0039175C">
        <w:rPr>
          <w:rFonts w:ascii="Courier New" w:eastAsia="Times New Roman" w:hAnsi="Courier New" w:cs="Courier New"/>
          <w:color w:val="333333"/>
          <w:sz w:val="18"/>
          <w:szCs w:val="18"/>
          <w:lang w:val="en-US" w:eastAsia="it-IT"/>
        </w:rPr>
        <w:t>contrast</w:t>
      </w:r>
      <w:proofErr w:type="gramEnd"/>
      <w:r w:rsidRPr="0039175C">
        <w:rPr>
          <w:rFonts w:ascii="Courier New" w:eastAsia="Times New Roman" w:hAnsi="Courier New" w:cs="Courier New"/>
          <w:color w:val="333333"/>
          <w:sz w:val="18"/>
          <w:szCs w:val="18"/>
          <w:lang w:val="en-US" w:eastAsia="it-IT"/>
        </w:rPr>
        <w:t xml:space="preserve"> graphite and multilayered graphene can present a significant IR activity. Here we demonstrate, by combining ab-initio calculations and analytical modeling, how symmetry breaking mechanisms that open a band gap in the graphene electronic-structure can also activate a huge IR and/or a piezoelectric response [1]. In particular, the piezoelectric coefficient per layer in gapped graphene is 3 times that of Boron Nitride and 30% larger than that of and Molybdenum Disulfide. By relating the IR charges and piezoelectric coefficient to the valley </w:t>
      </w:r>
      <w:proofErr w:type="spellStart"/>
      <w:r w:rsidRPr="0039175C">
        <w:rPr>
          <w:rFonts w:ascii="Courier New" w:eastAsia="Times New Roman" w:hAnsi="Courier New" w:cs="Courier New"/>
          <w:color w:val="333333"/>
          <w:sz w:val="18"/>
          <w:szCs w:val="18"/>
          <w:lang w:val="en-US" w:eastAsia="it-IT"/>
        </w:rPr>
        <w:t>Chern</w:t>
      </w:r>
      <w:proofErr w:type="spellEnd"/>
      <w:r w:rsidRPr="0039175C">
        <w:rPr>
          <w:rFonts w:ascii="Courier New" w:eastAsia="Times New Roman" w:hAnsi="Courier New" w:cs="Courier New"/>
          <w:color w:val="333333"/>
          <w:sz w:val="18"/>
          <w:szCs w:val="18"/>
          <w:lang w:val="en-US" w:eastAsia="it-IT"/>
        </w:rPr>
        <w:t xml:space="preserve"> number, we explain why such quantities are independent of the magnitude of the band gap for band gap smaller than 0.5 eV. The predicted large values of piezoelectric coefficient and dynamical effective charge can significantly influence the electron-phonon scattering processes, and thus charge transport and the relaxation-dynamics of photo-excited carriers. We acknowledge financial support by the European Graphene Flagship Core 2 grant number 785219.</w:t>
      </w:r>
    </w:p>
    <w:p w:rsidR="0039175C" w:rsidRP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it-IT"/>
        </w:rPr>
      </w:pPr>
    </w:p>
    <w:p w:rsidR="0039175C" w:rsidRPr="0039175C" w:rsidRDefault="0039175C" w:rsidP="0039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it-IT"/>
        </w:rPr>
      </w:pPr>
      <w:r w:rsidRPr="0039175C">
        <w:rPr>
          <w:rFonts w:ascii="Courier New" w:eastAsia="Times New Roman" w:hAnsi="Courier New" w:cs="Courier New"/>
          <w:color w:val="333333"/>
          <w:sz w:val="18"/>
          <w:szCs w:val="18"/>
          <w:lang w:eastAsia="it-IT"/>
        </w:rPr>
        <w:t>[1] O. Bistoni, P. Barone, E. Cappelluti, L. Benfatto, F. Mauri, 2D Mater. 6 045015 (2019)</w:t>
      </w:r>
    </w:p>
    <w:p w:rsidR="0068495B" w:rsidRDefault="0068495B"/>
    <w:sectPr w:rsidR="006849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5C"/>
    <w:rsid w:val="0039175C"/>
    <w:rsid w:val="003E09E7"/>
    <w:rsid w:val="00610440"/>
    <w:rsid w:val="006276D8"/>
    <w:rsid w:val="0068495B"/>
    <w:rsid w:val="00DB4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0E6A6-BC8D-480D-8F0C-1D8DCBFE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391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9175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Hewlett-Packard</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cataldo</dc:creator>
  <cp:keywords/>
  <dc:description/>
  <cp:lastModifiedBy>antonino cataldo</cp:lastModifiedBy>
  <cp:revision>1</cp:revision>
  <dcterms:created xsi:type="dcterms:W3CDTF">2019-10-07T22:14:00Z</dcterms:created>
  <dcterms:modified xsi:type="dcterms:W3CDTF">2019-10-07T22:14:00Z</dcterms:modified>
</cp:coreProperties>
</file>