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AF704" w14:textId="2BF20969" w:rsidR="00FE2B05" w:rsidRPr="00FE2B05" w:rsidRDefault="00FE2B05">
      <w:pPr>
        <w:rPr>
          <w:i/>
          <w:color w:val="00B0F0"/>
          <w:u w:val="single"/>
          <w:lang w:val="it-IT"/>
        </w:rPr>
      </w:pPr>
      <w:bookmarkStart w:id="0" w:name="_GoBack"/>
      <w:bookmarkEnd w:id="0"/>
      <w:r w:rsidRPr="00FE2B05">
        <w:rPr>
          <w:i/>
          <w:color w:val="00B0F0"/>
          <w:u w:val="single"/>
          <w:lang w:val="it-IT"/>
        </w:rPr>
        <w:t>RISPOSTE REALATIVE AL WP 4</w:t>
      </w:r>
    </w:p>
    <w:p w14:paraId="7F5FC76C" w14:textId="77777777" w:rsidR="00FE2B05" w:rsidRDefault="00FE2B05">
      <w:pPr>
        <w:rPr>
          <w:i/>
          <w:u w:val="single"/>
          <w:lang w:val="it-IT"/>
        </w:rPr>
      </w:pPr>
    </w:p>
    <w:p w14:paraId="5A2DB8B5" w14:textId="77777777" w:rsidR="00FE2B05" w:rsidRDefault="00FE2B05">
      <w:pPr>
        <w:rPr>
          <w:i/>
          <w:u w:val="single"/>
          <w:lang w:val="it-IT"/>
        </w:rPr>
      </w:pPr>
    </w:p>
    <w:p w14:paraId="66710CC3" w14:textId="324347FE" w:rsidR="004E1286" w:rsidRPr="00440A4D" w:rsidRDefault="00194AF1">
      <w:pPr>
        <w:rPr>
          <w:i/>
          <w:u w:val="single"/>
          <w:lang w:val="it-IT"/>
        </w:rPr>
      </w:pPr>
      <w:r w:rsidRPr="00440A4D">
        <w:rPr>
          <w:i/>
          <w:u w:val="single"/>
          <w:lang w:val="it-IT"/>
        </w:rPr>
        <w:t xml:space="preserve">Domanda 1 </w:t>
      </w:r>
    </w:p>
    <w:p w14:paraId="1A038E4D" w14:textId="77777777" w:rsidR="004E1286" w:rsidRPr="00440A4D" w:rsidRDefault="00194AF1">
      <w:pPr>
        <w:rPr>
          <w:lang w:val="it-IT"/>
        </w:rPr>
      </w:pPr>
      <w:r w:rsidRPr="00440A4D">
        <w:rPr>
          <w:lang w:val="it-IT"/>
        </w:rPr>
        <w:t xml:space="preserve">Sarebbe utile una breve sintesi dei benchmark di fisica che vengono studiati dalla comunità </w:t>
      </w:r>
    </w:p>
    <w:p w14:paraId="1576E44F" w14:textId="77777777" w:rsidR="004E1286" w:rsidRDefault="00194AF1">
      <w:r>
        <w:t xml:space="preserve">per </w:t>
      </w:r>
      <w:proofErr w:type="spellStart"/>
      <w:r>
        <w:t>avere</w:t>
      </w:r>
      <w:proofErr w:type="spellEnd"/>
      <w:r>
        <w:t xml:space="preserve"> un </w:t>
      </w:r>
      <w:proofErr w:type="spellStart"/>
      <w:r>
        <w:t>quadro</w:t>
      </w:r>
      <w:proofErr w:type="spellEnd"/>
      <w:r>
        <w:t xml:space="preserve"> di</w:t>
      </w:r>
    </w:p>
    <w:p w14:paraId="0D21775B" w14:textId="77777777" w:rsidR="004E1286" w:rsidRPr="00440A4D" w:rsidRDefault="00194AF1">
      <w:pPr>
        <w:numPr>
          <w:ilvl w:val="0"/>
          <w:numId w:val="1"/>
        </w:numPr>
        <w:contextualSpacing/>
        <w:rPr>
          <w:lang w:val="it-IT"/>
        </w:rPr>
      </w:pPr>
      <w:r w:rsidRPr="00440A4D">
        <w:rPr>
          <w:lang w:val="it-IT"/>
        </w:rPr>
        <w:t xml:space="preserve">Come questi benchmark siano rilevanti per il programma scientifico relativo al progetto o i progetti di futuri acceleratori considerati; </w:t>
      </w:r>
    </w:p>
    <w:p w14:paraId="57EC8A91" w14:textId="77777777" w:rsidR="004E1286" w:rsidRPr="00440A4D" w:rsidRDefault="00194AF1">
      <w:pPr>
        <w:numPr>
          <w:ilvl w:val="0"/>
          <w:numId w:val="1"/>
        </w:numPr>
        <w:contextualSpacing/>
        <w:rPr>
          <w:lang w:val="it-IT"/>
        </w:rPr>
      </w:pPr>
      <w:r w:rsidRPr="00440A4D">
        <w:rPr>
          <w:lang w:val="it-IT"/>
        </w:rPr>
        <w:t>Cosa si sta facendo nell’INFN per LC FCC e CepC</w:t>
      </w:r>
    </w:p>
    <w:p w14:paraId="288CB278" w14:textId="77777777" w:rsidR="004E1286" w:rsidRPr="00440A4D" w:rsidRDefault="00194AF1">
      <w:pPr>
        <w:numPr>
          <w:ilvl w:val="0"/>
          <w:numId w:val="1"/>
        </w:numPr>
        <w:contextualSpacing/>
        <w:rPr>
          <w:lang w:val="it-IT"/>
        </w:rPr>
      </w:pPr>
      <w:r w:rsidRPr="00440A4D">
        <w:rPr>
          <w:lang w:val="it-IT"/>
        </w:rPr>
        <w:t>Quali sono le forze e i contributi alternativi non INFN in ciascuno di questi item</w:t>
      </w:r>
    </w:p>
    <w:p w14:paraId="38A77E9C" w14:textId="77777777" w:rsidR="004E1286" w:rsidRPr="00440A4D" w:rsidRDefault="00194AF1">
      <w:pPr>
        <w:numPr>
          <w:ilvl w:val="0"/>
          <w:numId w:val="1"/>
        </w:numPr>
        <w:contextualSpacing/>
        <w:rPr>
          <w:lang w:val="it-IT"/>
        </w:rPr>
      </w:pPr>
      <w:r w:rsidRPr="00440A4D">
        <w:rPr>
          <w:lang w:val="it-IT"/>
        </w:rPr>
        <w:t>Quali  sono i canali che sarebbe auspicabile coprire e sui quali non c’è copertura (per ora)</w:t>
      </w:r>
    </w:p>
    <w:p w14:paraId="0CB0F86C" w14:textId="18CEE6E5" w:rsidR="004E1286" w:rsidRDefault="00194AF1">
      <w:pPr>
        <w:rPr>
          <w:lang w:val="it-IT"/>
        </w:rPr>
      </w:pPr>
      <w:r w:rsidRPr="00440A4D">
        <w:rPr>
          <w:lang w:val="it-IT"/>
        </w:rPr>
        <w:t xml:space="preserve">Come pensate di monitorare il progresso svolto dalle varie comunità sui suddetti benchmarks? </w:t>
      </w:r>
    </w:p>
    <w:p w14:paraId="547C9C55" w14:textId="77777777" w:rsidR="004B2448" w:rsidRDefault="004B2448">
      <w:pPr>
        <w:rPr>
          <w:lang w:val="it-IT"/>
        </w:rPr>
      </w:pPr>
    </w:p>
    <w:p w14:paraId="104D45AA" w14:textId="1E539954" w:rsidR="004B2448" w:rsidRPr="00AB55A8" w:rsidRDefault="004B2448">
      <w:pPr>
        <w:rPr>
          <w:i/>
          <w:color w:val="00B0F0"/>
          <w:lang w:val="it-IT"/>
        </w:rPr>
      </w:pPr>
      <w:r w:rsidRPr="00AB55A8">
        <w:rPr>
          <w:i/>
          <w:color w:val="00B0F0"/>
          <w:lang w:val="it-IT"/>
        </w:rPr>
        <w:t xml:space="preserve">IL WP4 </w:t>
      </w:r>
      <w:r w:rsidR="00AB55A8" w:rsidRPr="00AB55A8">
        <w:rPr>
          <w:i/>
          <w:color w:val="00B0F0"/>
          <w:lang w:val="it-IT"/>
        </w:rPr>
        <w:t>è</w:t>
      </w:r>
      <w:r w:rsidRPr="00AB55A8">
        <w:rPr>
          <w:i/>
          <w:color w:val="00B0F0"/>
          <w:lang w:val="it-IT"/>
        </w:rPr>
        <w:t xml:space="preserve"> dedicato a R&amp;D per la sperimentazione a EIC, anche se non si escludono sinergie con altre attivita’</w:t>
      </w:r>
      <w:r w:rsidR="00AB55A8" w:rsidRPr="00AB55A8">
        <w:rPr>
          <w:i/>
          <w:color w:val="00B0F0"/>
          <w:lang w:val="it-IT"/>
        </w:rPr>
        <w:t>. La risposta è nella linea della fisica per EIC.</w:t>
      </w:r>
    </w:p>
    <w:p w14:paraId="45620402" w14:textId="465CAA23" w:rsidR="003C1D80" w:rsidRDefault="003C1D80" w:rsidP="003C1D80">
      <w:pPr>
        <w:pStyle w:val="ListParagraph"/>
        <w:numPr>
          <w:ilvl w:val="0"/>
          <w:numId w:val="3"/>
        </w:numPr>
        <w:rPr>
          <w:i/>
          <w:color w:val="00B0F0"/>
          <w:lang w:val="it-IT"/>
        </w:rPr>
      </w:pPr>
      <w:r w:rsidRPr="004B2448">
        <w:rPr>
          <w:i/>
          <w:color w:val="00B0F0"/>
          <w:lang w:val="it-IT"/>
        </w:rPr>
        <w:t>Le linee di massima del programma di fisica a EIC sono delineate nel White Book, che non è comunque esaustivo perché’ il programma viene continuamente rivisto ed aggiornato.</w:t>
      </w:r>
      <w:r w:rsidR="00B90DB9">
        <w:rPr>
          <w:i/>
          <w:color w:val="00B0F0"/>
          <w:lang w:val="it-IT"/>
        </w:rPr>
        <w:t xml:space="preserve"> Le diverse misure comportano richieste anche sostanzialmente diverse per l’apparato sperimentale. In questo caso, è più utile un sommario delle richieste maggiormente impegnative, piu’ che l’analisi di un paio di canali specifici.</w:t>
      </w:r>
      <w:r w:rsidRPr="004B2448">
        <w:rPr>
          <w:i/>
          <w:color w:val="00B0F0"/>
          <w:lang w:val="it-IT"/>
        </w:rPr>
        <w:t xml:space="preserve"> Da tale programma seguono queste richieste per l’apparato sperimentale:</w:t>
      </w:r>
    </w:p>
    <w:p w14:paraId="6BF7E20B" w14:textId="5B7EF86A" w:rsidR="00B90DB9" w:rsidRPr="004B2448" w:rsidRDefault="00B90DB9" w:rsidP="00B90DB9">
      <w:pPr>
        <w:pStyle w:val="ListParagraph"/>
        <w:numPr>
          <w:ilvl w:val="1"/>
          <w:numId w:val="3"/>
        </w:numPr>
        <w:rPr>
          <w:i/>
          <w:color w:val="00B0F0"/>
          <w:lang w:val="it-IT"/>
        </w:rPr>
      </w:pPr>
      <w:r>
        <w:rPr>
          <w:i/>
          <w:color w:val="00B0F0"/>
          <w:lang w:val="it-IT"/>
        </w:rPr>
        <w:t>Copertura completa (4</w:t>
      </w:r>
      <w:r w:rsidRPr="00B90DB9">
        <w:rPr>
          <w:rFonts w:ascii="Symbol" w:hAnsi="Symbol"/>
          <w:i/>
          <w:color w:val="00B0F0"/>
          <w:lang w:val="it-IT"/>
        </w:rPr>
        <w:t></w:t>
      </w:r>
      <w:r w:rsidRPr="00B90DB9">
        <w:rPr>
          <w:rFonts w:ascii="Symbol" w:hAnsi="Symbol"/>
          <w:i/>
          <w:color w:val="00B0F0"/>
          <w:lang w:val="it-IT"/>
        </w:rPr>
        <w:t></w:t>
      </w:r>
      <w:r>
        <w:rPr>
          <w:i/>
          <w:color w:val="00B0F0"/>
          <w:lang w:val="it-IT"/>
        </w:rPr>
        <w:t>) dell’accettanza</w:t>
      </w:r>
    </w:p>
    <w:p w14:paraId="50BC0C81" w14:textId="77777777" w:rsidR="003C1D80" w:rsidRPr="004B2448" w:rsidRDefault="003C1D80" w:rsidP="003C1D80">
      <w:pPr>
        <w:pStyle w:val="ListParagraph"/>
        <w:numPr>
          <w:ilvl w:val="0"/>
          <w:numId w:val="4"/>
        </w:numPr>
        <w:rPr>
          <w:i/>
          <w:color w:val="00B0F0"/>
          <w:lang w:val="it-IT"/>
        </w:rPr>
      </w:pPr>
      <w:r w:rsidRPr="004B2448">
        <w:rPr>
          <w:i/>
          <w:color w:val="00B0F0"/>
          <w:lang w:val="it-IT"/>
        </w:rPr>
        <w:t>Rapidity Coverage:</w:t>
      </w:r>
    </w:p>
    <w:p w14:paraId="59389531" w14:textId="1ECFE4B7" w:rsidR="003C1D80" w:rsidRPr="004B2448" w:rsidRDefault="003C1D80" w:rsidP="004B2448">
      <w:pPr>
        <w:pStyle w:val="ListParagraph"/>
        <w:numPr>
          <w:ilvl w:val="1"/>
          <w:numId w:val="4"/>
        </w:numPr>
        <w:rPr>
          <w:i/>
          <w:color w:val="00B0F0"/>
          <w:lang w:val="it-IT"/>
        </w:rPr>
      </w:pPr>
      <w:r w:rsidRPr="004B2448">
        <w:rPr>
          <w:i/>
          <w:color w:val="00B0F0"/>
          <w:lang w:val="it-IT"/>
        </w:rPr>
        <w:t xml:space="preserve">tracking: -4 &lt; </w:t>
      </w:r>
      <w:r w:rsidRPr="004B2448">
        <w:rPr>
          <w:rFonts w:ascii="Symbol" w:hAnsi="Symbol"/>
          <w:i/>
          <w:color w:val="00B0F0"/>
          <w:lang w:val="it-IT"/>
        </w:rPr>
        <w:t></w:t>
      </w:r>
      <w:r w:rsidRPr="004B2448">
        <w:rPr>
          <w:i/>
          <w:color w:val="00B0F0"/>
          <w:lang w:val="it-IT"/>
        </w:rPr>
        <w:t xml:space="preserve"> &lt; 4</w:t>
      </w:r>
    </w:p>
    <w:p w14:paraId="6AC05AF4" w14:textId="77777777" w:rsidR="003C1D80" w:rsidRPr="004B2448" w:rsidRDefault="003C1D80" w:rsidP="004B2448">
      <w:pPr>
        <w:pStyle w:val="ListParagraph"/>
        <w:numPr>
          <w:ilvl w:val="1"/>
          <w:numId w:val="4"/>
        </w:numPr>
        <w:rPr>
          <w:i/>
          <w:color w:val="00B0F0"/>
          <w:lang w:val="it-IT"/>
        </w:rPr>
      </w:pPr>
      <w:r w:rsidRPr="004B2448">
        <w:rPr>
          <w:i/>
          <w:color w:val="00B0F0"/>
          <w:lang w:val="it-IT"/>
        </w:rPr>
        <w:t xml:space="preserve">calorimetry: -5 &lt; </w:t>
      </w:r>
      <w:r w:rsidRPr="004B2448">
        <w:rPr>
          <w:rFonts w:ascii="Symbol" w:hAnsi="Symbol"/>
          <w:i/>
          <w:color w:val="00B0F0"/>
          <w:lang w:val="it-IT"/>
        </w:rPr>
        <w:t></w:t>
      </w:r>
      <w:r w:rsidRPr="004B2448">
        <w:rPr>
          <w:i/>
          <w:color w:val="00B0F0"/>
          <w:lang w:val="it-IT"/>
        </w:rPr>
        <w:t xml:space="preserve"> &lt; 5</w:t>
      </w:r>
    </w:p>
    <w:p w14:paraId="50BC6D81" w14:textId="39BA3887" w:rsidR="003C1D80" w:rsidRPr="00B90DB9" w:rsidRDefault="003C1D80" w:rsidP="004B2448">
      <w:pPr>
        <w:pStyle w:val="ListParagraph"/>
        <w:numPr>
          <w:ilvl w:val="1"/>
          <w:numId w:val="4"/>
        </w:numPr>
        <w:rPr>
          <w:i/>
          <w:color w:val="00B0F0"/>
          <w:lang w:val="it-IT"/>
        </w:rPr>
      </w:pPr>
      <w:r w:rsidRPr="00851F0A">
        <w:rPr>
          <w:rFonts w:ascii="Symbol" w:hAnsi="Symbol"/>
          <w:i/>
          <w:color w:val="00B0F0"/>
          <w:lang w:val="it-IT"/>
        </w:rPr>
        <w:t></w:t>
      </w:r>
      <w:r w:rsidRPr="00B90DB9">
        <w:rPr>
          <w:i/>
          <w:color w:val="00B0F0"/>
          <w:lang w:val="it-IT"/>
        </w:rPr>
        <w:t>,K,p identification: -3 &lt;</w:t>
      </w:r>
      <w:r w:rsidRPr="004B2448">
        <w:rPr>
          <w:rFonts w:ascii="Symbol" w:hAnsi="Symbol"/>
          <w:i/>
          <w:color w:val="00B0F0"/>
          <w:lang w:val="en-US"/>
        </w:rPr>
        <w:t></w:t>
      </w:r>
      <w:r w:rsidRPr="004B2448">
        <w:rPr>
          <w:rFonts w:ascii="Symbol" w:hAnsi="Symbol"/>
          <w:i/>
          <w:color w:val="00B0F0"/>
          <w:lang w:val="en-US"/>
        </w:rPr>
        <w:t></w:t>
      </w:r>
      <w:r w:rsidRPr="00B90DB9">
        <w:rPr>
          <w:i/>
          <w:color w:val="00B0F0"/>
          <w:lang w:val="it-IT"/>
        </w:rPr>
        <w:t xml:space="preserve"> &lt; 3</w:t>
      </w:r>
    </w:p>
    <w:p w14:paraId="67C1BF4F" w14:textId="77777777" w:rsidR="003C1D80" w:rsidRPr="004B2448" w:rsidRDefault="003C1D80" w:rsidP="003C1D80">
      <w:pPr>
        <w:pStyle w:val="ListParagraph"/>
        <w:numPr>
          <w:ilvl w:val="0"/>
          <w:numId w:val="4"/>
        </w:numPr>
        <w:rPr>
          <w:i/>
          <w:color w:val="00B0F0"/>
          <w:lang w:val="it-IT"/>
        </w:rPr>
      </w:pPr>
      <w:r w:rsidRPr="004B2448">
        <w:rPr>
          <w:i/>
          <w:color w:val="00B0F0"/>
          <w:lang w:val="it-IT"/>
        </w:rPr>
        <w:t>PID Requirements:</w:t>
      </w:r>
    </w:p>
    <w:p w14:paraId="0ED5248D" w14:textId="5B108CFA" w:rsidR="003C1D80" w:rsidRPr="004B2448" w:rsidRDefault="003C1D80" w:rsidP="004B2448">
      <w:pPr>
        <w:pStyle w:val="ListParagraph"/>
        <w:numPr>
          <w:ilvl w:val="1"/>
          <w:numId w:val="4"/>
        </w:numPr>
        <w:rPr>
          <w:i/>
          <w:color w:val="00B0F0"/>
          <w:lang w:val="en-US"/>
        </w:rPr>
      </w:pPr>
      <w:r w:rsidRPr="002F5A2A">
        <w:rPr>
          <w:i/>
          <w:color w:val="00B0F0"/>
          <w:lang w:val="en-US"/>
        </w:rPr>
        <w:t>lepton / ha</w:t>
      </w:r>
      <w:r w:rsidRPr="004B2448">
        <w:rPr>
          <w:i/>
          <w:color w:val="00B0F0"/>
          <w:lang w:val="en-US"/>
        </w:rPr>
        <w:t>dron separation strongly rapidity dependent</w:t>
      </w:r>
      <w:r w:rsidR="004B2448" w:rsidRPr="004B2448">
        <w:rPr>
          <w:i/>
          <w:color w:val="00B0F0"/>
          <w:lang w:val="en-US"/>
        </w:rPr>
        <w:t>:</w:t>
      </w:r>
    </w:p>
    <w:p w14:paraId="58F3AB68" w14:textId="699D8552" w:rsidR="003C1D80" w:rsidRPr="004B2448" w:rsidRDefault="003C1D80" w:rsidP="004B2448">
      <w:pPr>
        <w:pStyle w:val="ListParagraph"/>
        <w:ind w:left="2160"/>
        <w:rPr>
          <w:i/>
          <w:color w:val="00B0F0"/>
          <w:lang w:val="en-US"/>
        </w:rPr>
      </w:pPr>
      <w:r w:rsidRPr="004B2448">
        <w:rPr>
          <w:i/>
          <w:color w:val="00B0F0"/>
          <w:lang w:val="en-US"/>
        </w:rPr>
        <w:t xml:space="preserve">1:1 at </w:t>
      </w:r>
      <w:r w:rsidRPr="004B2448">
        <w:rPr>
          <w:rFonts w:ascii="Symbol" w:hAnsi="Symbol"/>
          <w:i/>
          <w:color w:val="00B0F0"/>
          <w:lang w:val="en-US"/>
        </w:rPr>
        <w:t></w:t>
      </w:r>
      <w:r w:rsidRPr="004B2448">
        <w:rPr>
          <w:i/>
          <w:color w:val="00B0F0"/>
          <w:lang w:val="en-US"/>
        </w:rPr>
        <w:t xml:space="preserve"> &lt; -1      10:1 to 10</w:t>
      </w:r>
      <w:r w:rsidRPr="004B2448">
        <w:rPr>
          <w:i/>
          <w:color w:val="00B0F0"/>
          <w:vertAlign w:val="superscript"/>
          <w:lang w:val="en-US"/>
        </w:rPr>
        <w:t>3</w:t>
      </w:r>
      <w:r w:rsidRPr="004B2448">
        <w:rPr>
          <w:i/>
          <w:color w:val="00B0F0"/>
          <w:lang w:val="en-US"/>
        </w:rPr>
        <w:t>:1 at -4&lt;</w:t>
      </w:r>
      <w:r w:rsidRPr="004B2448">
        <w:rPr>
          <w:rFonts w:ascii="Symbol" w:hAnsi="Symbol"/>
          <w:i/>
          <w:color w:val="00B0F0"/>
          <w:lang w:val="en-US"/>
        </w:rPr>
        <w:t></w:t>
      </w:r>
      <w:r w:rsidRPr="004B2448">
        <w:rPr>
          <w:i/>
          <w:color w:val="00B0F0"/>
          <w:lang w:val="en-US"/>
        </w:rPr>
        <w:t>&lt;-1     10</w:t>
      </w:r>
      <w:r w:rsidRPr="004B2448">
        <w:rPr>
          <w:i/>
          <w:color w:val="00B0F0"/>
          <w:vertAlign w:val="superscript"/>
          <w:lang w:val="en-US"/>
        </w:rPr>
        <w:t>4</w:t>
      </w:r>
      <w:r w:rsidRPr="004B2448">
        <w:rPr>
          <w:i/>
          <w:color w:val="00B0F0"/>
          <w:lang w:val="en-US"/>
        </w:rPr>
        <w:t>:1 at -1&lt;</w:t>
      </w:r>
      <w:r w:rsidRPr="004B2448">
        <w:rPr>
          <w:rFonts w:ascii="Symbol" w:hAnsi="Symbol"/>
          <w:i/>
          <w:color w:val="00B0F0"/>
          <w:lang w:val="en-US"/>
        </w:rPr>
        <w:t></w:t>
      </w:r>
      <w:r w:rsidRPr="004B2448">
        <w:rPr>
          <w:i/>
          <w:color w:val="00B0F0"/>
          <w:lang w:val="en-US"/>
        </w:rPr>
        <w:t xml:space="preserve"> &lt;1</w:t>
      </w:r>
    </w:p>
    <w:p w14:paraId="17038B54" w14:textId="77777777" w:rsidR="003C1D80" w:rsidRPr="004B2448" w:rsidRDefault="003C1D80" w:rsidP="004B2448">
      <w:pPr>
        <w:pStyle w:val="ListParagraph"/>
        <w:numPr>
          <w:ilvl w:val="1"/>
          <w:numId w:val="4"/>
        </w:numPr>
        <w:rPr>
          <w:i/>
          <w:color w:val="00B0F0"/>
          <w:lang w:val="it-IT"/>
        </w:rPr>
      </w:pPr>
      <w:r w:rsidRPr="00851F0A">
        <w:rPr>
          <w:rFonts w:ascii="Symbol" w:hAnsi="Symbol"/>
          <w:i/>
          <w:color w:val="00B0F0"/>
          <w:lang w:val="it-IT"/>
        </w:rPr>
        <w:t></w:t>
      </w:r>
      <w:r w:rsidRPr="004B2448">
        <w:rPr>
          <w:i/>
          <w:color w:val="00B0F0"/>
          <w:lang w:val="it-IT"/>
        </w:rPr>
        <w:t>,K,p Identification:</w:t>
      </w:r>
    </w:p>
    <w:p w14:paraId="142E2E3F" w14:textId="0A068DD7" w:rsidR="004B2448" w:rsidRPr="004B2448" w:rsidRDefault="00E36F48" w:rsidP="004B2448">
      <w:pPr>
        <w:pStyle w:val="ListParagraph"/>
        <w:numPr>
          <w:ilvl w:val="1"/>
          <w:numId w:val="4"/>
        </w:numPr>
        <w:rPr>
          <w:i/>
          <w:color w:val="00B0F0"/>
          <w:lang w:val="en-US"/>
        </w:rPr>
      </w:pPr>
      <w:r w:rsidRPr="00E36F48">
        <w:rPr>
          <w:rFonts w:ascii="Symbol" w:hAnsi="Symbol"/>
          <w:i/>
          <w:color w:val="00B0F0"/>
          <w:lang w:val="en-US"/>
        </w:rPr>
        <w:t></w:t>
      </w:r>
      <w:r w:rsidR="00CC10E0">
        <w:rPr>
          <w:i/>
          <w:color w:val="00B0F0"/>
          <w:lang w:val="en-US"/>
        </w:rPr>
        <w:t>/</w:t>
      </w:r>
      <w:r>
        <w:rPr>
          <w:i/>
          <w:color w:val="00B0F0"/>
          <w:lang w:val="en-US"/>
        </w:rPr>
        <w:t>K</w:t>
      </w:r>
      <w:r w:rsidR="003C1D80" w:rsidRPr="004B2448">
        <w:rPr>
          <w:i/>
          <w:color w:val="00B0F0"/>
          <w:lang w:val="en-US"/>
        </w:rPr>
        <w:t xml:space="preserve"> ratio ~3-4    </w:t>
      </w:r>
    </w:p>
    <w:p w14:paraId="7E04C11F" w14:textId="6EE6B5D0" w:rsidR="003C1D80" w:rsidRPr="004B2448" w:rsidRDefault="003C1D80" w:rsidP="004B2448">
      <w:pPr>
        <w:pStyle w:val="ListParagraph"/>
        <w:numPr>
          <w:ilvl w:val="1"/>
          <w:numId w:val="4"/>
        </w:numPr>
        <w:rPr>
          <w:i/>
          <w:color w:val="00B0F0"/>
          <w:lang w:val="en-US"/>
        </w:rPr>
      </w:pPr>
      <w:r w:rsidRPr="004B2448">
        <w:rPr>
          <w:i/>
          <w:color w:val="00B0F0"/>
          <w:lang w:val="en-US"/>
        </w:rPr>
        <w:t>need</w:t>
      </w:r>
      <w:r w:rsidR="004B2448" w:rsidRPr="004B2448">
        <w:rPr>
          <w:i/>
          <w:color w:val="00B0F0"/>
          <w:lang w:val="en-US"/>
        </w:rPr>
        <w:t>:</w:t>
      </w:r>
      <w:r w:rsidRPr="004B2448">
        <w:rPr>
          <w:i/>
          <w:color w:val="00B0F0"/>
          <w:lang w:val="en-US"/>
        </w:rPr>
        <w:t xml:space="preserve"> high K efficiency and purity </w:t>
      </w:r>
      <w:r w:rsidR="004B2448" w:rsidRPr="004B2448">
        <w:rPr>
          <w:i/>
          <w:color w:val="00B0F0"/>
          <w:lang w:val="it-IT"/>
        </w:rPr>
        <w:sym w:font="Wingdings" w:char="F0E0"/>
      </w:r>
      <w:r w:rsidRPr="004B2448">
        <w:rPr>
          <w:i/>
          <w:color w:val="00B0F0"/>
          <w:lang w:val="en-US"/>
        </w:rPr>
        <w:t xml:space="preserve"> positive ID  </w:t>
      </w:r>
    </w:p>
    <w:p w14:paraId="1771B787" w14:textId="77777777" w:rsidR="003C1D80" w:rsidRPr="004B2448" w:rsidRDefault="003C1D80" w:rsidP="004B2448">
      <w:pPr>
        <w:pStyle w:val="ListParagraph"/>
        <w:numPr>
          <w:ilvl w:val="1"/>
          <w:numId w:val="4"/>
        </w:numPr>
        <w:rPr>
          <w:i/>
          <w:color w:val="00B0F0"/>
          <w:lang w:val="it-IT"/>
        </w:rPr>
      </w:pPr>
      <w:r w:rsidRPr="004B2448">
        <w:rPr>
          <w:i/>
          <w:color w:val="00B0F0"/>
          <w:lang w:val="it-IT"/>
        </w:rPr>
        <w:t>K/p ratio ~1</w:t>
      </w:r>
    </w:p>
    <w:p w14:paraId="009A73DD" w14:textId="77777777" w:rsidR="003C1D80" w:rsidRPr="004B2448" w:rsidRDefault="003C1D80" w:rsidP="003C1D80">
      <w:pPr>
        <w:pStyle w:val="ListParagraph"/>
        <w:numPr>
          <w:ilvl w:val="0"/>
          <w:numId w:val="4"/>
        </w:numPr>
        <w:rPr>
          <w:i/>
          <w:color w:val="00B0F0"/>
          <w:lang w:val="it-IT"/>
        </w:rPr>
      </w:pPr>
      <w:r w:rsidRPr="004B2448">
        <w:rPr>
          <w:i/>
          <w:color w:val="00B0F0"/>
          <w:lang w:val="it-IT"/>
        </w:rPr>
        <w:t xml:space="preserve">momentum-coverage: </w:t>
      </w:r>
    </w:p>
    <w:p w14:paraId="26EDA0BD" w14:textId="77777777" w:rsidR="004B2448" w:rsidRPr="004B2448" w:rsidRDefault="003C1D80" w:rsidP="004B2448">
      <w:pPr>
        <w:pStyle w:val="ListParagraph"/>
        <w:numPr>
          <w:ilvl w:val="1"/>
          <w:numId w:val="4"/>
        </w:numPr>
        <w:rPr>
          <w:i/>
          <w:color w:val="00B0F0"/>
          <w:lang w:val="it-IT"/>
        </w:rPr>
      </w:pPr>
      <w:r w:rsidRPr="004B2448">
        <w:rPr>
          <w:i/>
          <w:color w:val="00B0F0"/>
          <w:lang w:val="it-IT"/>
        </w:rPr>
        <w:t xml:space="preserve">-5 &lt; </w:t>
      </w:r>
      <w:r w:rsidRPr="004B2448">
        <w:rPr>
          <w:rFonts w:ascii="Symbol" w:hAnsi="Symbol"/>
          <w:i/>
          <w:color w:val="00B0F0"/>
          <w:lang w:val="it-IT"/>
        </w:rPr>
        <w:t></w:t>
      </w:r>
      <w:r w:rsidRPr="004B2448">
        <w:rPr>
          <w:i/>
          <w:color w:val="00B0F0"/>
          <w:lang w:val="it-IT"/>
        </w:rPr>
        <w:t xml:space="preserve"> &lt; 2:  0.1 GeV &lt; p &lt; 10 GeV</w:t>
      </w:r>
    </w:p>
    <w:p w14:paraId="77637AA4" w14:textId="14BA9F86" w:rsidR="003C1D80" w:rsidRPr="004B2448" w:rsidRDefault="003C1D80" w:rsidP="004B2448">
      <w:pPr>
        <w:pStyle w:val="ListParagraph"/>
        <w:numPr>
          <w:ilvl w:val="1"/>
          <w:numId w:val="4"/>
        </w:numPr>
        <w:rPr>
          <w:i/>
          <w:color w:val="00B0F0"/>
          <w:lang w:val="it-IT"/>
        </w:rPr>
      </w:pPr>
      <w:r w:rsidRPr="004B2448">
        <w:rPr>
          <w:i/>
          <w:color w:val="00B0F0"/>
          <w:lang w:val="it-IT"/>
        </w:rPr>
        <w:t>2 &lt;</w:t>
      </w:r>
      <w:r w:rsidRPr="004B2448">
        <w:rPr>
          <w:rFonts w:ascii="Symbol" w:hAnsi="Symbol"/>
          <w:i/>
          <w:color w:val="00B0F0"/>
          <w:lang w:val="it-IT"/>
        </w:rPr>
        <w:t></w:t>
      </w:r>
      <w:r w:rsidRPr="004B2448">
        <w:rPr>
          <w:rFonts w:ascii="Symbol" w:hAnsi="Symbol"/>
          <w:i/>
          <w:color w:val="00B0F0"/>
          <w:lang w:val="it-IT"/>
        </w:rPr>
        <w:t></w:t>
      </w:r>
      <w:r w:rsidRPr="004B2448">
        <w:rPr>
          <w:i/>
          <w:color w:val="00B0F0"/>
          <w:lang w:val="it-IT"/>
        </w:rPr>
        <w:t xml:space="preserve"> &lt; 5:  0.1 GeV &lt; p &lt; 100 GeV</w:t>
      </w:r>
    </w:p>
    <w:p w14:paraId="3E64DC6A" w14:textId="77777777" w:rsidR="003C1D80" w:rsidRPr="004B2448" w:rsidRDefault="003C1D80" w:rsidP="003C1D80">
      <w:pPr>
        <w:pStyle w:val="ListParagraph"/>
        <w:numPr>
          <w:ilvl w:val="0"/>
          <w:numId w:val="4"/>
        </w:numPr>
        <w:rPr>
          <w:i/>
          <w:color w:val="00B0F0"/>
          <w:lang w:val="it-IT"/>
        </w:rPr>
      </w:pPr>
      <w:r w:rsidRPr="004B2448">
        <w:rPr>
          <w:i/>
          <w:color w:val="00B0F0"/>
          <w:lang w:val="it-IT"/>
        </w:rPr>
        <w:t>Momentum / Energy resolution:</w:t>
      </w:r>
    </w:p>
    <w:p w14:paraId="0A25BB2F" w14:textId="67EAEE0C" w:rsidR="003C1D80" w:rsidRPr="004B2448" w:rsidRDefault="003C1D80" w:rsidP="004B2448">
      <w:pPr>
        <w:pStyle w:val="ListParagraph"/>
        <w:numPr>
          <w:ilvl w:val="1"/>
          <w:numId w:val="4"/>
        </w:numPr>
        <w:rPr>
          <w:i/>
          <w:color w:val="00B0F0"/>
          <w:lang w:val="en-US"/>
        </w:rPr>
      </w:pPr>
      <w:proofErr w:type="spellStart"/>
      <w:r w:rsidRPr="004B2448">
        <w:rPr>
          <w:i/>
          <w:color w:val="00B0F0"/>
          <w:lang w:val="en-US"/>
        </w:rPr>
        <w:t>dp</w:t>
      </w:r>
      <w:proofErr w:type="spellEnd"/>
      <w:r w:rsidRPr="004B2448">
        <w:rPr>
          <w:i/>
          <w:color w:val="00B0F0"/>
          <w:lang w:val="en-US"/>
        </w:rPr>
        <w:t>/p &lt; 1% p &lt; 10 GeV 1&lt;|</w:t>
      </w:r>
      <w:r w:rsidRPr="004B2448">
        <w:rPr>
          <w:rFonts w:ascii="Symbol" w:hAnsi="Symbol"/>
          <w:i/>
          <w:color w:val="00B0F0"/>
          <w:lang w:val="en-US"/>
        </w:rPr>
        <w:t></w:t>
      </w:r>
      <w:r w:rsidRPr="004B2448">
        <w:rPr>
          <w:i/>
          <w:color w:val="00B0F0"/>
          <w:lang w:val="en-US"/>
        </w:rPr>
        <w:t>|&lt;3</w:t>
      </w:r>
    </w:p>
    <w:p w14:paraId="3ABB324E" w14:textId="7F76529D" w:rsidR="004B2448" w:rsidRDefault="004B2448" w:rsidP="004B2448">
      <w:pPr>
        <w:rPr>
          <w:i/>
          <w:color w:val="00B0F0"/>
          <w:lang w:val="it-IT"/>
        </w:rPr>
      </w:pPr>
      <w:r w:rsidRPr="004B2448">
        <w:rPr>
          <w:i/>
          <w:color w:val="00B0F0"/>
          <w:lang w:val="it-IT"/>
        </w:rPr>
        <w:t xml:space="preserve">   </w:t>
      </w:r>
      <w:r w:rsidRPr="004B2448">
        <w:rPr>
          <w:i/>
          <w:color w:val="00B0F0"/>
          <w:lang w:val="it-IT"/>
        </w:rPr>
        <w:tab/>
        <w:t>In questo contesto noi siamo concentrato su hadron PID, in particolare al alti momenti: ad oggi, NON esiste una risposta completa a queste esigenze sperimentali.</w:t>
      </w:r>
    </w:p>
    <w:p w14:paraId="794C494B" w14:textId="6CAD8968" w:rsidR="004B2448" w:rsidRDefault="004B2448" w:rsidP="004B2448">
      <w:pPr>
        <w:pStyle w:val="ListParagraph"/>
        <w:numPr>
          <w:ilvl w:val="0"/>
          <w:numId w:val="3"/>
        </w:numPr>
        <w:rPr>
          <w:i/>
          <w:color w:val="00B0F0"/>
          <w:lang w:val="it-IT"/>
        </w:rPr>
      </w:pPr>
      <w:r>
        <w:rPr>
          <w:i/>
          <w:color w:val="00B0F0"/>
          <w:lang w:val="it-IT"/>
        </w:rPr>
        <w:t>Non pertinente al WP4</w:t>
      </w:r>
    </w:p>
    <w:p w14:paraId="587D41BB" w14:textId="082DEBE2" w:rsidR="004B2448" w:rsidRDefault="004B2448" w:rsidP="004B2448">
      <w:pPr>
        <w:pStyle w:val="ListParagraph"/>
        <w:numPr>
          <w:ilvl w:val="0"/>
          <w:numId w:val="3"/>
        </w:numPr>
        <w:rPr>
          <w:i/>
          <w:color w:val="00B0F0"/>
          <w:lang w:val="it-IT"/>
        </w:rPr>
      </w:pPr>
      <w:r>
        <w:rPr>
          <w:i/>
          <w:color w:val="00B0F0"/>
          <w:lang w:val="it-IT"/>
        </w:rPr>
        <w:lastRenderedPageBreak/>
        <w:t>Sono in corso alcuni R&amp;D specifici per hadron PID a bassi momenti; il settore di alti momenti è ancora da delineare e l’INFN potrebbe giocare un ruolo chiave</w:t>
      </w:r>
    </w:p>
    <w:p w14:paraId="64BEF1B3" w14:textId="728F6B07" w:rsidR="00AB55A8" w:rsidRDefault="00AB55A8" w:rsidP="004B2448">
      <w:pPr>
        <w:pStyle w:val="ListParagraph"/>
        <w:numPr>
          <w:ilvl w:val="0"/>
          <w:numId w:val="3"/>
        </w:numPr>
        <w:rPr>
          <w:i/>
          <w:color w:val="00B0F0"/>
          <w:lang w:val="it-IT"/>
        </w:rPr>
      </w:pPr>
      <w:r>
        <w:rPr>
          <w:i/>
          <w:color w:val="00B0F0"/>
          <w:lang w:val="it-IT"/>
        </w:rPr>
        <w:t>La risposta è implicita’ in quanto detto al punto A).</w:t>
      </w:r>
    </w:p>
    <w:p w14:paraId="0309CE87" w14:textId="59ED6C96" w:rsidR="00AB55A8" w:rsidRPr="00AB55A8" w:rsidRDefault="00AB55A8" w:rsidP="00AB55A8">
      <w:pPr>
        <w:rPr>
          <w:i/>
          <w:color w:val="00B0F0"/>
          <w:lang w:val="it-IT"/>
        </w:rPr>
      </w:pPr>
      <w:r>
        <w:rPr>
          <w:i/>
          <w:color w:val="00B0F0"/>
          <w:lang w:val="it-IT"/>
        </w:rPr>
        <w:t xml:space="preserve">Il monitoraggio dei progressi è nel report delle </w:t>
      </w:r>
      <w:r w:rsidR="003D6FF8">
        <w:rPr>
          <w:i/>
          <w:color w:val="00B0F0"/>
          <w:lang w:val="it-IT"/>
        </w:rPr>
        <w:t>attività</w:t>
      </w:r>
      <w:r>
        <w:rPr>
          <w:i/>
          <w:color w:val="00B0F0"/>
          <w:lang w:val="it-IT"/>
        </w:rPr>
        <w:t xml:space="preserve"> di R&amp;D.</w:t>
      </w:r>
    </w:p>
    <w:p w14:paraId="7C37013A" w14:textId="77777777" w:rsidR="004E1286" w:rsidRPr="004B2448" w:rsidRDefault="004E1286">
      <w:pPr>
        <w:rPr>
          <w:color w:val="0000FF"/>
          <w:lang w:val="it-IT"/>
        </w:rPr>
      </w:pPr>
    </w:p>
    <w:p w14:paraId="6536FE89" w14:textId="77777777" w:rsidR="00440A4D" w:rsidRPr="004B2448" w:rsidRDefault="00440A4D">
      <w:pPr>
        <w:rPr>
          <w:color w:val="0000FF"/>
          <w:lang w:val="it-IT"/>
        </w:rPr>
      </w:pPr>
    </w:p>
    <w:p w14:paraId="09CFC057" w14:textId="77777777" w:rsidR="004E1286" w:rsidRPr="00440A4D" w:rsidRDefault="00194AF1">
      <w:pPr>
        <w:rPr>
          <w:u w:val="single"/>
          <w:lang w:val="it-IT"/>
        </w:rPr>
      </w:pPr>
      <w:r w:rsidRPr="00440A4D">
        <w:rPr>
          <w:u w:val="single"/>
          <w:lang w:val="it-IT"/>
        </w:rPr>
        <w:t xml:space="preserve">Domanda 2 </w:t>
      </w:r>
    </w:p>
    <w:p w14:paraId="021272AC" w14:textId="77777777" w:rsidR="004E1286" w:rsidRPr="00440A4D" w:rsidRDefault="00194AF1">
      <w:pPr>
        <w:rPr>
          <w:lang w:val="it-IT"/>
        </w:rPr>
      </w:pPr>
      <w:r w:rsidRPr="00440A4D">
        <w:rPr>
          <w:lang w:val="it-IT"/>
        </w:rPr>
        <w:t>E’ importante capire quali sono i progetti in RD_FA per i quali si propone lo sviluppo di rivelatori</w:t>
      </w:r>
    </w:p>
    <w:p w14:paraId="18C5D248" w14:textId="77777777" w:rsidR="004E1286" w:rsidRDefault="00194AF1">
      <w:pPr>
        <w:rPr>
          <w:lang w:val="it-IT"/>
        </w:rPr>
      </w:pPr>
      <w:r w:rsidRPr="00440A4D">
        <w:rPr>
          <w:lang w:val="it-IT"/>
        </w:rPr>
        <w:t>(o sistemi) innovativi per gli apparati sperimentali ai possibili collider futuri, rispetto ai progetti per i quali l’INFN possiede già’ esperienza e know-how.</w:t>
      </w:r>
    </w:p>
    <w:p w14:paraId="7820C48F" w14:textId="77777777" w:rsidR="00440A4D" w:rsidRPr="00440A4D" w:rsidRDefault="00440A4D">
      <w:pPr>
        <w:rPr>
          <w:lang w:val="it-IT"/>
        </w:rPr>
      </w:pPr>
    </w:p>
    <w:p w14:paraId="1C219FD5" w14:textId="77777777" w:rsidR="004E1286" w:rsidRPr="00440A4D" w:rsidRDefault="00194AF1">
      <w:pPr>
        <w:rPr>
          <w:lang w:val="it-IT"/>
        </w:rPr>
      </w:pPr>
      <w:r w:rsidRPr="00440A4D">
        <w:rPr>
          <w:lang w:val="it-IT"/>
        </w:rPr>
        <w:t>Inoltre sarebbe utile avere per ciascun Work Package un sintetico status report di</w:t>
      </w:r>
    </w:p>
    <w:p w14:paraId="50FD67D9" w14:textId="77777777" w:rsidR="004E1286" w:rsidRPr="00440A4D" w:rsidRDefault="00194AF1">
      <w:pPr>
        <w:rPr>
          <w:lang w:val="it-IT"/>
        </w:rPr>
      </w:pPr>
      <w:r w:rsidRPr="00440A4D">
        <w:rPr>
          <w:lang w:val="it-IT"/>
        </w:rPr>
        <w:t>1. cosa si e’ fatto,</w:t>
      </w:r>
    </w:p>
    <w:p w14:paraId="2485D5E3" w14:textId="77777777" w:rsidR="004E1286" w:rsidRPr="00440A4D" w:rsidRDefault="00194AF1">
      <w:pPr>
        <w:rPr>
          <w:lang w:val="it-IT"/>
        </w:rPr>
      </w:pPr>
      <w:r w:rsidRPr="00440A4D">
        <w:rPr>
          <w:lang w:val="it-IT"/>
        </w:rPr>
        <w:t>2. cosa si sta facendo e</w:t>
      </w:r>
    </w:p>
    <w:p w14:paraId="3D6B2814" w14:textId="77777777" w:rsidR="004E1286" w:rsidRPr="00440A4D" w:rsidRDefault="00194AF1">
      <w:pPr>
        <w:rPr>
          <w:lang w:val="it-IT"/>
        </w:rPr>
      </w:pPr>
      <w:r w:rsidRPr="00440A4D">
        <w:rPr>
          <w:lang w:val="it-IT"/>
        </w:rPr>
        <w:t>3. come si pensa di continuare in futuro.</w:t>
      </w:r>
    </w:p>
    <w:p w14:paraId="52ED4D19" w14:textId="77777777" w:rsidR="004E1286" w:rsidRPr="00440A4D" w:rsidRDefault="004E1286">
      <w:pPr>
        <w:rPr>
          <w:lang w:val="it-IT"/>
        </w:rPr>
      </w:pPr>
    </w:p>
    <w:p w14:paraId="74B39D02" w14:textId="77777777" w:rsidR="004E1286" w:rsidRPr="00440A4D" w:rsidRDefault="00194AF1">
      <w:pPr>
        <w:rPr>
          <w:lang w:val="it-IT"/>
        </w:rPr>
      </w:pPr>
      <w:r w:rsidRPr="00440A4D">
        <w:rPr>
          <w:lang w:val="it-IT"/>
        </w:rPr>
        <w:t>Sarebbe utile capire quali gruppi all’interno di RD_FA portano avanti un’attivita’ non legata ad uno specifico progetto di macchina acceleratrice, e quali sono gli studi portati avanti in questo contesto.</w:t>
      </w:r>
    </w:p>
    <w:p w14:paraId="299B4945" w14:textId="77777777" w:rsidR="004E1286" w:rsidRPr="00440A4D" w:rsidRDefault="004E1286">
      <w:pPr>
        <w:rPr>
          <w:lang w:val="it-IT"/>
        </w:rPr>
      </w:pPr>
    </w:p>
    <w:p w14:paraId="45569324" w14:textId="77777777" w:rsidR="004E1286" w:rsidRPr="00440A4D" w:rsidRDefault="00194AF1">
      <w:pPr>
        <w:rPr>
          <w:lang w:val="it-IT"/>
        </w:rPr>
      </w:pPr>
      <w:r w:rsidRPr="00440A4D">
        <w:rPr>
          <w:lang w:val="it-IT"/>
        </w:rPr>
        <w:t>La conclusione dei lavori dell’ Update della European Strategy (ES) dara’ una guida importante verso l’integrazione dei vari sottosistemi per uno, o più, rivelatori meglio definiti.</w:t>
      </w:r>
    </w:p>
    <w:p w14:paraId="255792F6" w14:textId="77777777" w:rsidR="004E1286" w:rsidRPr="00440A4D" w:rsidRDefault="00194AF1">
      <w:pPr>
        <w:rPr>
          <w:lang w:val="it-IT"/>
        </w:rPr>
      </w:pPr>
      <w:r w:rsidRPr="00440A4D">
        <w:rPr>
          <w:lang w:val="it-IT"/>
        </w:rPr>
        <w:t>Tuttavia e’ importante capire, anche a questo stadio del lavoro, se ci sono sforzi fatti in RD_FA</w:t>
      </w:r>
    </w:p>
    <w:p w14:paraId="2BADBAC4" w14:textId="77777777" w:rsidR="004E1286" w:rsidRPr="00440A4D" w:rsidRDefault="00194AF1">
      <w:pPr>
        <w:rPr>
          <w:lang w:val="it-IT"/>
        </w:rPr>
      </w:pPr>
      <w:r w:rsidRPr="00440A4D">
        <w:rPr>
          <w:lang w:val="it-IT"/>
        </w:rPr>
        <w:t>di integrazioni dei vari Work Packages (includendo anche studi di fisica basati su simulazioni),</w:t>
      </w:r>
    </w:p>
    <w:p w14:paraId="42E2AB0C" w14:textId="608E1B0B" w:rsidR="004E1286" w:rsidRDefault="00194AF1">
      <w:pPr>
        <w:rPr>
          <w:lang w:val="it-IT"/>
        </w:rPr>
      </w:pPr>
      <w:r w:rsidRPr="00440A4D">
        <w:rPr>
          <w:lang w:val="it-IT"/>
        </w:rPr>
        <w:t xml:space="preserve">assumendo possibili scenari che si potrebbero concretizzare con l’ES. Una migliore integrazione dei lavori svolti in RD_FA e’ auspicabile gia’ a partire da ora. </w:t>
      </w:r>
    </w:p>
    <w:p w14:paraId="46B055E1" w14:textId="75DB6D41" w:rsidR="00D713B3" w:rsidRDefault="00D713B3">
      <w:pPr>
        <w:rPr>
          <w:lang w:val="it-IT"/>
        </w:rPr>
      </w:pPr>
    </w:p>
    <w:p w14:paraId="7DFB529E" w14:textId="5D1B0C7D" w:rsidR="00D713B3" w:rsidRPr="00D713B3" w:rsidRDefault="00D713B3">
      <w:pPr>
        <w:rPr>
          <w:i/>
          <w:color w:val="00B0F0"/>
          <w:lang w:val="it-IT"/>
        </w:rPr>
      </w:pPr>
      <w:r w:rsidRPr="00D713B3">
        <w:rPr>
          <w:i/>
          <w:color w:val="00B0F0"/>
          <w:lang w:val="it-IT"/>
        </w:rPr>
        <w:t xml:space="preserve">Per </w:t>
      </w:r>
      <w:r w:rsidR="007B2A2A">
        <w:rPr>
          <w:i/>
          <w:color w:val="00B0F0"/>
          <w:lang w:val="it-IT"/>
        </w:rPr>
        <w:t>il WP4</w:t>
      </w:r>
      <w:r w:rsidRPr="00D713B3">
        <w:rPr>
          <w:i/>
          <w:color w:val="00B0F0"/>
          <w:lang w:val="it-IT"/>
        </w:rPr>
        <w:t xml:space="preserve">, il testo </w:t>
      </w:r>
      <w:r w:rsidR="00E479AC" w:rsidRPr="00D713B3">
        <w:rPr>
          <w:i/>
          <w:color w:val="00B0F0"/>
          <w:lang w:val="it-IT"/>
        </w:rPr>
        <w:t>già</w:t>
      </w:r>
      <w:r w:rsidRPr="00D713B3">
        <w:rPr>
          <w:i/>
          <w:color w:val="00B0F0"/>
          <w:lang w:val="it-IT"/>
        </w:rPr>
        <w:t xml:space="preserve"> inviato ai referee </w:t>
      </w:r>
      <w:r w:rsidR="00E479AC" w:rsidRPr="00D713B3">
        <w:rPr>
          <w:i/>
          <w:color w:val="00B0F0"/>
          <w:lang w:val="it-IT"/>
        </w:rPr>
        <w:t>è</w:t>
      </w:r>
      <w:r w:rsidRPr="00D713B3">
        <w:rPr>
          <w:i/>
          <w:color w:val="00B0F0"/>
          <w:lang w:val="it-IT"/>
        </w:rPr>
        <w:t xml:space="preserve"> una risposta completa cui non occorre aggiungere nulla: Franco </w:t>
      </w:r>
      <w:r w:rsidR="00E30C7B">
        <w:rPr>
          <w:i/>
          <w:color w:val="00B0F0"/>
          <w:lang w:val="it-IT"/>
        </w:rPr>
        <w:t>ti prego di ricordalo</w:t>
      </w:r>
      <w:r w:rsidRPr="00D713B3">
        <w:rPr>
          <w:i/>
          <w:color w:val="00B0F0"/>
          <w:lang w:val="it-IT"/>
        </w:rPr>
        <w:t xml:space="preserve"> ai referee.</w:t>
      </w:r>
    </w:p>
    <w:p w14:paraId="0CC8CDE5" w14:textId="77777777" w:rsidR="004E1286" w:rsidRDefault="004E1286">
      <w:pPr>
        <w:rPr>
          <w:lang w:val="it-IT"/>
        </w:rPr>
      </w:pPr>
    </w:p>
    <w:p w14:paraId="0E8F7833" w14:textId="77777777" w:rsidR="00440A4D" w:rsidRPr="00440A4D" w:rsidRDefault="00440A4D">
      <w:pPr>
        <w:rPr>
          <w:lang w:val="it-IT"/>
        </w:rPr>
      </w:pPr>
    </w:p>
    <w:p w14:paraId="3103043C" w14:textId="77777777" w:rsidR="004E1286" w:rsidRPr="00440A4D" w:rsidRDefault="00194AF1">
      <w:pPr>
        <w:rPr>
          <w:u w:val="single"/>
          <w:lang w:val="it-IT"/>
        </w:rPr>
      </w:pPr>
      <w:r w:rsidRPr="00440A4D">
        <w:rPr>
          <w:u w:val="single"/>
          <w:lang w:val="it-IT"/>
        </w:rPr>
        <w:t xml:space="preserve">Domanda 3 </w:t>
      </w:r>
    </w:p>
    <w:p w14:paraId="5BC6451E" w14:textId="77777777" w:rsidR="004E1286" w:rsidRPr="00440A4D" w:rsidRDefault="00194AF1">
      <w:pPr>
        <w:rPr>
          <w:lang w:val="it-IT"/>
        </w:rPr>
      </w:pPr>
      <w:r w:rsidRPr="00440A4D">
        <w:rPr>
          <w:lang w:val="it-IT"/>
        </w:rPr>
        <w:t xml:space="preserve">Individuati i benchmark di fisica, quali sono i necessari sviluppi tecnologici che potrebbero portare l’INFN a compiere delle scelte ponderate riguardo ai futuri acceleratori? Come pensate di monitorare il progresso svolto dalle varie comunità sui suddetti benchmarks? </w:t>
      </w:r>
    </w:p>
    <w:p w14:paraId="60566923" w14:textId="77777777" w:rsidR="004E1286" w:rsidRPr="00440A4D" w:rsidRDefault="00194AF1">
      <w:pPr>
        <w:rPr>
          <w:lang w:val="it-IT"/>
        </w:rPr>
      </w:pPr>
      <w:r w:rsidRPr="00440A4D">
        <w:rPr>
          <w:lang w:val="it-IT"/>
        </w:rPr>
        <w:t>Volendo effettivamente selezionare i contributi originali e “indispensabili” a poter effettuare delle scelte per i FA quali sono le priorita’? Sia tra i vari WP, che all’interno di uno specifico WP.</w:t>
      </w:r>
    </w:p>
    <w:p w14:paraId="6E0C4A5D" w14:textId="71E19366" w:rsidR="004E1286" w:rsidRPr="00440A4D" w:rsidRDefault="00194AF1">
      <w:pPr>
        <w:rPr>
          <w:lang w:val="it-IT"/>
        </w:rPr>
      </w:pPr>
      <w:r w:rsidRPr="00440A4D">
        <w:rPr>
          <w:lang w:val="it-IT"/>
        </w:rPr>
        <w:t xml:space="preserve">Quali di questi R&amp;D richiedono ancora di esplorare la </w:t>
      </w:r>
      <w:r w:rsidR="00583862" w:rsidRPr="00440A4D">
        <w:rPr>
          <w:lang w:val="it-IT"/>
        </w:rPr>
        <w:t>fattibilità</w:t>
      </w:r>
      <w:r w:rsidRPr="00440A4D">
        <w:rPr>
          <w:lang w:val="it-IT"/>
        </w:rPr>
        <w:t xml:space="preserve"> con un progetto di CSN5?</w:t>
      </w:r>
    </w:p>
    <w:p w14:paraId="080B7ED3" w14:textId="7B3767A4" w:rsidR="003D6FF8" w:rsidRDefault="003D6FF8" w:rsidP="003D6FF8">
      <w:pPr>
        <w:rPr>
          <w:i/>
          <w:color w:val="00B0F0"/>
          <w:lang w:val="it-IT"/>
        </w:rPr>
      </w:pPr>
      <w:r w:rsidRPr="00D713B3">
        <w:rPr>
          <w:i/>
          <w:color w:val="00B0F0"/>
          <w:lang w:val="it-IT"/>
        </w:rPr>
        <w:t xml:space="preserve">Per </w:t>
      </w:r>
      <w:r>
        <w:rPr>
          <w:i/>
          <w:color w:val="00B0F0"/>
          <w:lang w:val="it-IT"/>
        </w:rPr>
        <w:t>il WP4</w:t>
      </w:r>
      <w:r w:rsidRPr="00D713B3">
        <w:rPr>
          <w:i/>
          <w:color w:val="00B0F0"/>
          <w:lang w:val="it-IT"/>
        </w:rPr>
        <w:t xml:space="preserve">, </w:t>
      </w:r>
      <w:r>
        <w:rPr>
          <w:i/>
          <w:color w:val="00B0F0"/>
          <w:lang w:val="it-IT"/>
        </w:rPr>
        <w:t xml:space="preserve">come già per la domanda precedente, </w:t>
      </w:r>
      <w:r w:rsidRPr="00D713B3">
        <w:rPr>
          <w:i/>
          <w:color w:val="00B0F0"/>
          <w:lang w:val="it-IT"/>
        </w:rPr>
        <w:t>il testo inviato ai referee è una risposta completa.</w:t>
      </w:r>
      <w:r>
        <w:rPr>
          <w:i/>
          <w:color w:val="00B0F0"/>
          <w:lang w:val="it-IT"/>
        </w:rPr>
        <w:t xml:space="preserve"> In questo caso</w:t>
      </w:r>
      <w:r w:rsidR="00FA0107">
        <w:rPr>
          <w:i/>
          <w:color w:val="00B0F0"/>
          <w:lang w:val="it-IT"/>
        </w:rPr>
        <w:t xml:space="preserve">, </w:t>
      </w:r>
      <w:r>
        <w:rPr>
          <w:i/>
          <w:color w:val="00B0F0"/>
          <w:lang w:val="it-IT"/>
        </w:rPr>
        <w:t xml:space="preserve"> arricchita </w:t>
      </w:r>
      <w:r w:rsidR="00FA0107">
        <w:rPr>
          <w:i/>
          <w:color w:val="00B0F0"/>
          <w:lang w:val="it-IT"/>
        </w:rPr>
        <w:t xml:space="preserve">anche </w:t>
      </w:r>
      <w:r>
        <w:rPr>
          <w:i/>
          <w:color w:val="00B0F0"/>
          <w:lang w:val="it-IT"/>
        </w:rPr>
        <w:t>dalle considera</w:t>
      </w:r>
      <w:r w:rsidR="00FA0107">
        <w:rPr>
          <w:i/>
          <w:color w:val="00B0F0"/>
          <w:lang w:val="it-IT"/>
        </w:rPr>
        <w:t>zioni nella risposta alla doman</w:t>
      </w:r>
      <w:r>
        <w:rPr>
          <w:i/>
          <w:color w:val="00B0F0"/>
          <w:lang w:val="it-IT"/>
        </w:rPr>
        <w:t>da 1</w:t>
      </w:r>
      <w:r w:rsidR="00FA0107">
        <w:rPr>
          <w:i/>
          <w:color w:val="00B0F0"/>
          <w:lang w:val="it-IT"/>
        </w:rPr>
        <w:t>:</w:t>
      </w:r>
    </w:p>
    <w:p w14:paraId="178FFE2F" w14:textId="19EEF839" w:rsidR="00FA0107" w:rsidRPr="00D713B3" w:rsidRDefault="00FA0107" w:rsidP="003D6FF8">
      <w:pPr>
        <w:rPr>
          <w:i/>
          <w:color w:val="00B0F0"/>
          <w:lang w:val="it-IT"/>
        </w:rPr>
      </w:pPr>
      <w:r>
        <w:rPr>
          <w:i/>
          <w:color w:val="00B0F0"/>
          <w:lang w:val="it-IT"/>
        </w:rPr>
        <w:t>in particolare, si sottolinea la rilevanza di trovare risposta ad una esigenza sperimentale di prioritaria necessità a EIC: l’identificazione di adroni ad alti momenti in una configurazione sperimentale di collider.</w:t>
      </w:r>
    </w:p>
    <w:p w14:paraId="688DCC24" w14:textId="77777777" w:rsidR="004E1286" w:rsidRDefault="004E1286">
      <w:pPr>
        <w:rPr>
          <w:color w:val="FF0000"/>
          <w:lang w:val="it-IT"/>
        </w:rPr>
      </w:pPr>
    </w:p>
    <w:p w14:paraId="22DD72BF" w14:textId="77777777" w:rsidR="00440A4D" w:rsidRDefault="00440A4D">
      <w:pPr>
        <w:rPr>
          <w:color w:val="FF0000"/>
          <w:lang w:val="it-IT"/>
        </w:rPr>
      </w:pPr>
    </w:p>
    <w:p w14:paraId="2487D1EB" w14:textId="77777777" w:rsidR="00440A4D" w:rsidRDefault="00440A4D">
      <w:pPr>
        <w:rPr>
          <w:color w:val="FF0000"/>
          <w:lang w:val="it-IT"/>
        </w:rPr>
      </w:pPr>
    </w:p>
    <w:p w14:paraId="098CF79F" w14:textId="77777777" w:rsidR="004E1286" w:rsidRPr="00440A4D" w:rsidRDefault="00194AF1">
      <w:pPr>
        <w:rPr>
          <w:u w:val="single"/>
          <w:lang w:val="it-IT"/>
        </w:rPr>
      </w:pPr>
      <w:r w:rsidRPr="00440A4D">
        <w:rPr>
          <w:u w:val="single"/>
          <w:lang w:val="it-IT"/>
        </w:rPr>
        <w:t xml:space="preserve">Domanda 4 </w:t>
      </w:r>
    </w:p>
    <w:p w14:paraId="00043AAD" w14:textId="4EDCF0F4" w:rsidR="004E1286" w:rsidRPr="00440A4D" w:rsidRDefault="00194AF1">
      <w:pPr>
        <w:rPr>
          <w:lang w:val="it-IT"/>
        </w:rPr>
      </w:pPr>
      <w:r w:rsidRPr="00440A4D">
        <w:rPr>
          <w:lang w:val="it-IT"/>
        </w:rPr>
        <w:t>Vorremmo avere una anagrafica dettagliata dei colleghi del gruppo RD_FA con informazioni relative a: Work Package, eta’ (&lt;50 anni o &gt;50 anni), condizione di avere una posizione permanente o a tempo determinato, informazione relativa alla frazione di tempo equivalente sp</w:t>
      </w:r>
      <w:r w:rsidR="003503EB">
        <w:rPr>
          <w:lang w:val="it-IT"/>
        </w:rPr>
        <w:t>esa in ciascun WP di RD_FA e l’</w:t>
      </w:r>
      <w:r w:rsidRPr="00440A4D">
        <w:rPr>
          <w:lang w:val="it-IT"/>
        </w:rPr>
        <w:t xml:space="preserve">informazione di dove si spende la frazione complementare di tempo. </w:t>
      </w:r>
    </w:p>
    <w:p w14:paraId="3D4B9CE5" w14:textId="6F9B5824" w:rsidR="004E1286" w:rsidRDefault="00194AF1">
      <w:pPr>
        <w:rPr>
          <w:lang w:val="it-IT"/>
        </w:rPr>
      </w:pPr>
      <w:r w:rsidRPr="00440A4D">
        <w:rPr>
          <w:lang w:val="it-IT"/>
        </w:rPr>
        <w:t xml:space="preserve">Di conseguenza preghiamo di riempire la tabella Excel allegata “Anagrafica-RD_FA-2018.xlsx” seguendo il template (con nomi e dati di fantasia) fornito. Il template prevede esplicitamente che una stessa persona puo’ partecipare a piu’ di un WP. </w:t>
      </w:r>
    </w:p>
    <w:p w14:paraId="35914CDF" w14:textId="223EE127" w:rsidR="00D713B3" w:rsidRPr="00D713B3" w:rsidRDefault="00D713B3">
      <w:pPr>
        <w:rPr>
          <w:i/>
          <w:color w:val="00B0F0"/>
          <w:lang w:val="it-IT"/>
        </w:rPr>
      </w:pPr>
    </w:p>
    <w:p w14:paraId="61505C59" w14:textId="7B353952" w:rsidR="00D713B3" w:rsidRPr="00D713B3" w:rsidRDefault="002F5A2A">
      <w:pPr>
        <w:rPr>
          <w:i/>
          <w:color w:val="00B0F0"/>
          <w:lang w:val="it-IT"/>
        </w:rPr>
      </w:pPr>
      <w:r>
        <w:rPr>
          <w:i/>
          <w:color w:val="00B0F0"/>
          <w:lang w:val="it-IT"/>
        </w:rPr>
        <w:t xml:space="preserve">Fare riferimento alla tabella inviata  </w:t>
      </w:r>
      <w:r w:rsidR="00D713B3" w:rsidRPr="00D713B3">
        <w:rPr>
          <w:i/>
          <w:color w:val="00B0F0"/>
          <w:lang w:val="it-IT"/>
        </w:rPr>
        <w:t>a Franco.</w:t>
      </w:r>
    </w:p>
    <w:p w14:paraId="18CED0D1" w14:textId="77777777" w:rsidR="004E1286" w:rsidRDefault="004E1286">
      <w:pPr>
        <w:rPr>
          <w:lang w:val="it-IT"/>
        </w:rPr>
      </w:pPr>
    </w:p>
    <w:p w14:paraId="512D982C" w14:textId="77777777" w:rsidR="00440A4D" w:rsidRPr="00440A4D" w:rsidRDefault="00440A4D">
      <w:pPr>
        <w:rPr>
          <w:lang w:val="it-IT"/>
        </w:rPr>
      </w:pPr>
    </w:p>
    <w:p w14:paraId="5D33BD4E" w14:textId="77777777" w:rsidR="004E1286" w:rsidRPr="00440A4D" w:rsidRDefault="00194AF1">
      <w:pPr>
        <w:rPr>
          <w:i/>
          <w:u w:val="single"/>
          <w:lang w:val="it-IT"/>
        </w:rPr>
      </w:pPr>
      <w:r w:rsidRPr="00440A4D">
        <w:rPr>
          <w:i/>
          <w:u w:val="single"/>
          <w:lang w:val="it-IT"/>
        </w:rPr>
        <w:t xml:space="preserve">Domanda 5 </w:t>
      </w:r>
    </w:p>
    <w:p w14:paraId="24F233B4" w14:textId="77777777" w:rsidR="004E1286" w:rsidRPr="00440A4D" w:rsidRDefault="00194AF1">
      <w:pPr>
        <w:rPr>
          <w:lang w:val="it-IT"/>
        </w:rPr>
      </w:pPr>
      <w:r w:rsidRPr="00440A4D">
        <w:rPr>
          <w:lang w:val="it-IT"/>
        </w:rPr>
        <w:t xml:space="preserve">Siamo consapevoli del fatto che le attività di disseminazione e la partecipazione a conferenze ricoprono un ruolo specifico per RD_FA. </w:t>
      </w:r>
    </w:p>
    <w:p w14:paraId="7AB6361C" w14:textId="77777777" w:rsidR="004E1286" w:rsidRPr="00440A4D" w:rsidRDefault="00194AF1">
      <w:pPr>
        <w:rPr>
          <w:lang w:val="it-IT"/>
        </w:rPr>
      </w:pPr>
      <w:r w:rsidRPr="00440A4D">
        <w:rPr>
          <w:lang w:val="it-IT"/>
        </w:rPr>
        <w:t>Tuttavia proprio per questo riteniamo che la partecipazione alle conferenze e i contributi ai working group dovrebbero rientrare nella pianificazione come uno degli elementi del progetto.</w:t>
      </w:r>
    </w:p>
    <w:p w14:paraId="3B46D971" w14:textId="77777777" w:rsidR="004E1286" w:rsidRPr="00440A4D" w:rsidRDefault="00194AF1">
      <w:pPr>
        <w:rPr>
          <w:lang w:val="it-IT"/>
        </w:rPr>
      </w:pPr>
      <w:r w:rsidRPr="00440A4D">
        <w:rPr>
          <w:lang w:val="it-IT"/>
        </w:rPr>
        <w:t>Riteniamo che, tranne casi particolari e analogamente a quanto succede nelle piccole e grandi collaborazioni, un esponente di RD_FA debba di norma presentare il lavoro svolto nel suo e negli altri WP.</w:t>
      </w:r>
    </w:p>
    <w:p w14:paraId="281094E6" w14:textId="4D24E978" w:rsidR="004E1286" w:rsidRDefault="00194AF1">
      <w:pPr>
        <w:rPr>
          <w:lang w:val="it-IT"/>
        </w:rPr>
      </w:pPr>
      <w:r w:rsidRPr="00440A4D">
        <w:rPr>
          <w:lang w:val="it-IT"/>
        </w:rPr>
        <w:t>Chiediamo pertanto di conoscere in anticipo la lista dettagliata degli eventi (conferenze, scuole, workshops) a cui si ritiene indispensabile partecipare, indicando esplicitamente il numero di partecipanti proposti a ciascuno di questi eventi.</w:t>
      </w:r>
    </w:p>
    <w:p w14:paraId="5ED618AC" w14:textId="02A5A36E" w:rsidR="00D713B3" w:rsidRPr="00E479AC" w:rsidRDefault="00D713B3">
      <w:pPr>
        <w:rPr>
          <w:i/>
          <w:color w:val="00B0F0"/>
          <w:lang w:val="it-IT"/>
        </w:rPr>
      </w:pPr>
      <w:r w:rsidRPr="00E479AC">
        <w:rPr>
          <w:i/>
          <w:color w:val="00B0F0"/>
          <w:lang w:val="it-IT"/>
        </w:rPr>
        <w:t xml:space="preserve">Per il WP 4 ecco lo spaccato </w:t>
      </w:r>
      <w:r w:rsidR="00583862" w:rsidRPr="00E479AC">
        <w:rPr>
          <w:i/>
          <w:color w:val="00B0F0"/>
          <w:lang w:val="it-IT"/>
        </w:rPr>
        <w:t>dell’attività</w:t>
      </w:r>
      <w:r w:rsidR="00583862">
        <w:rPr>
          <w:i/>
          <w:color w:val="00B0F0"/>
          <w:lang w:val="it-IT"/>
        </w:rPr>
        <w:t xml:space="preserve"> in missione</w:t>
      </w:r>
      <w:r w:rsidRPr="00E479AC">
        <w:rPr>
          <w:i/>
          <w:color w:val="00B0F0"/>
          <w:lang w:val="it-IT"/>
        </w:rPr>
        <w:t>:</w:t>
      </w:r>
    </w:p>
    <w:p w14:paraId="0F9EB2C0" w14:textId="5EB0C034" w:rsidR="00E479AC" w:rsidRPr="00E479AC" w:rsidRDefault="00D713B3" w:rsidP="00D713B3">
      <w:pPr>
        <w:pStyle w:val="ListParagraph"/>
        <w:numPr>
          <w:ilvl w:val="0"/>
          <w:numId w:val="2"/>
        </w:numPr>
        <w:rPr>
          <w:i/>
          <w:color w:val="00B0F0"/>
          <w:lang w:val="it-IT"/>
        </w:rPr>
      </w:pPr>
      <w:r w:rsidRPr="00E479AC">
        <w:rPr>
          <w:i/>
          <w:color w:val="00B0F0"/>
          <w:lang w:val="it-IT"/>
        </w:rPr>
        <w:t xml:space="preserve">2 Viaggi </w:t>
      </w:r>
      <w:r w:rsidR="00E479AC" w:rsidRPr="00E479AC">
        <w:rPr>
          <w:i/>
          <w:color w:val="00B0F0"/>
          <w:lang w:val="it-IT"/>
        </w:rPr>
        <w:t>in usa per collaborazione con i colleghi del progetto eRD6 della call for EIC generic R&amp;D,  in particolare partecipazione al meeting annuale di EICUG</w:t>
      </w:r>
    </w:p>
    <w:p w14:paraId="30B6512E" w14:textId="4A0AF126" w:rsidR="00E479AC" w:rsidRPr="00E479AC" w:rsidRDefault="00E479AC" w:rsidP="00D713B3">
      <w:pPr>
        <w:pStyle w:val="ListParagraph"/>
        <w:numPr>
          <w:ilvl w:val="0"/>
          <w:numId w:val="2"/>
        </w:numPr>
        <w:rPr>
          <w:i/>
          <w:color w:val="00B0F0"/>
          <w:lang w:val="it-IT"/>
        </w:rPr>
      </w:pPr>
      <w:r w:rsidRPr="00E479AC">
        <w:rPr>
          <w:i/>
          <w:color w:val="00B0F0"/>
          <w:lang w:val="it-IT"/>
        </w:rPr>
        <w:t>contatti con fornitori e contatti con collaboratori di Bari  (brevi missioni nazionali)</w:t>
      </w:r>
    </w:p>
    <w:p w14:paraId="48D20019" w14:textId="3DCA7776" w:rsidR="00D713B3" w:rsidRPr="00E479AC" w:rsidRDefault="00D713B3" w:rsidP="00D713B3">
      <w:pPr>
        <w:pStyle w:val="ListParagraph"/>
        <w:numPr>
          <w:ilvl w:val="0"/>
          <w:numId w:val="2"/>
        </w:numPr>
        <w:rPr>
          <w:i/>
          <w:color w:val="00B0F0"/>
          <w:lang w:val="it-IT"/>
        </w:rPr>
      </w:pPr>
      <w:r w:rsidRPr="00E479AC">
        <w:rPr>
          <w:i/>
          <w:color w:val="00B0F0"/>
          <w:lang w:val="it-IT"/>
        </w:rPr>
        <w:t>Missioni per teat beam al CERN</w:t>
      </w:r>
      <w:r w:rsidR="00E479AC" w:rsidRPr="00E479AC">
        <w:rPr>
          <w:i/>
          <w:color w:val="00B0F0"/>
          <w:lang w:val="it-IT"/>
        </w:rPr>
        <w:t>: 6 settimane-uomo</w:t>
      </w:r>
      <w:r w:rsidR="00E479AC" w:rsidRPr="00E479AC">
        <w:rPr>
          <w:i/>
          <w:color w:val="00B0F0"/>
          <w:lang w:val="it-IT"/>
        </w:rPr>
        <w:tab/>
        <w:t>(fisici e tecnici) per allestimento e svolgimento test beam.</w:t>
      </w:r>
    </w:p>
    <w:p w14:paraId="1F2D1505" w14:textId="77777777" w:rsidR="004E1286" w:rsidRDefault="004E1286">
      <w:pPr>
        <w:rPr>
          <w:lang w:val="it-IT"/>
        </w:rPr>
      </w:pPr>
    </w:p>
    <w:p w14:paraId="1F8C3603" w14:textId="77777777" w:rsidR="00440A4D" w:rsidRPr="00440A4D" w:rsidRDefault="00440A4D">
      <w:pPr>
        <w:rPr>
          <w:lang w:val="it-IT"/>
        </w:rPr>
      </w:pPr>
    </w:p>
    <w:p w14:paraId="6100D8B8" w14:textId="77777777" w:rsidR="004E1286" w:rsidRPr="00440A4D" w:rsidRDefault="00194AF1">
      <w:pPr>
        <w:rPr>
          <w:u w:val="single"/>
          <w:lang w:val="it-IT"/>
        </w:rPr>
      </w:pPr>
      <w:r w:rsidRPr="00440A4D">
        <w:rPr>
          <w:u w:val="single"/>
          <w:lang w:val="it-IT"/>
        </w:rPr>
        <w:t xml:space="preserve">Domanda 6 </w:t>
      </w:r>
    </w:p>
    <w:p w14:paraId="7886FD8E" w14:textId="77777777" w:rsidR="004E1286" w:rsidRPr="00440A4D" w:rsidRDefault="00194AF1">
      <w:pPr>
        <w:rPr>
          <w:lang w:val="it-IT"/>
        </w:rPr>
      </w:pPr>
      <w:r w:rsidRPr="00440A4D">
        <w:rPr>
          <w:lang w:val="it-IT"/>
        </w:rPr>
        <w:t>Chiediamo di specificare le richieste di missioni per test beams separatamente da quelle per conferenze, workshops, riunioni, meetings, etc, in quelle sedi in cui nei moduli EC/EN2 le richieste di missione sono state inserite con un’unica voce e cioe’: MI, PD, PI, TO.</w:t>
      </w:r>
    </w:p>
    <w:p w14:paraId="6DBA344F" w14:textId="0103D542" w:rsidR="004E1286" w:rsidRPr="00E479AC" w:rsidRDefault="00731590">
      <w:pPr>
        <w:rPr>
          <w:i/>
          <w:color w:val="00B0F0"/>
          <w:lang w:val="it-IT"/>
        </w:rPr>
      </w:pPr>
      <w:r>
        <w:rPr>
          <w:i/>
          <w:color w:val="00B0F0"/>
          <w:lang w:val="it-IT"/>
        </w:rPr>
        <w:t>Per il WP4, l</w:t>
      </w:r>
      <w:r w:rsidR="00E479AC" w:rsidRPr="00E479AC">
        <w:rPr>
          <w:i/>
          <w:color w:val="00B0F0"/>
          <w:lang w:val="it-IT"/>
        </w:rPr>
        <w:t>a risposta è inclusa al punto precedente.</w:t>
      </w:r>
    </w:p>
    <w:p w14:paraId="1B75A121" w14:textId="77777777" w:rsidR="004E1286" w:rsidRPr="00440A4D" w:rsidRDefault="00194AF1">
      <w:pPr>
        <w:rPr>
          <w:color w:val="9900FF"/>
          <w:lang w:val="it-IT"/>
        </w:rPr>
      </w:pPr>
      <w:r w:rsidRPr="00440A4D">
        <w:rPr>
          <w:lang w:val="it-IT"/>
        </w:rPr>
        <w:t xml:space="preserve"> </w:t>
      </w:r>
    </w:p>
    <w:p w14:paraId="0AB32E28" w14:textId="77777777" w:rsidR="004E1286" w:rsidRPr="00440A4D" w:rsidRDefault="004E1286">
      <w:pPr>
        <w:rPr>
          <w:color w:val="6AA84F"/>
          <w:lang w:val="it-IT"/>
        </w:rPr>
      </w:pPr>
    </w:p>
    <w:p w14:paraId="16FE6CBB" w14:textId="77777777" w:rsidR="004E1286" w:rsidRPr="00440A4D" w:rsidRDefault="004E1286">
      <w:pPr>
        <w:rPr>
          <w:lang w:val="it-IT"/>
        </w:rPr>
      </w:pPr>
    </w:p>
    <w:sectPr w:rsidR="004E1286" w:rsidRPr="00440A4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6EB1"/>
    <w:multiLevelType w:val="hybridMultilevel"/>
    <w:tmpl w:val="3F4E027A"/>
    <w:lvl w:ilvl="0" w:tplc="DAAA41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C37C5"/>
    <w:multiLevelType w:val="hybridMultilevel"/>
    <w:tmpl w:val="8D1C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B4F31"/>
    <w:multiLevelType w:val="multilevel"/>
    <w:tmpl w:val="A99C2FE2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489379D"/>
    <w:multiLevelType w:val="hybridMultilevel"/>
    <w:tmpl w:val="88FC9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86"/>
    <w:rsid w:val="00194AF1"/>
    <w:rsid w:val="002F5A2A"/>
    <w:rsid w:val="003503EB"/>
    <w:rsid w:val="003C1D80"/>
    <w:rsid w:val="003D6FF8"/>
    <w:rsid w:val="00440A4D"/>
    <w:rsid w:val="004B2448"/>
    <w:rsid w:val="004E1286"/>
    <w:rsid w:val="00583862"/>
    <w:rsid w:val="00731590"/>
    <w:rsid w:val="007B2A2A"/>
    <w:rsid w:val="00851F0A"/>
    <w:rsid w:val="00882C86"/>
    <w:rsid w:val="00980E11"/>
    <w:rsid w:val="00AB55A8"/>
    <w:rsid w:val="00B34FFC"/>
    <w:rsid w:val="00B90DB9"/>
    <w:rsid w:val="00CC10E0"/>
    <w:rsid w:val="00D713B3"/>
    <w:rsid w:val="00E30C7B"/>
    <w:rsid w:val="00E36F48"/>
    <w:rsid w:val="00E479AC"/>
    <w:rsid w:val="00FA0107"/>
    <w:rsid w:val="00F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24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71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71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Sezione di Trieste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Dalla Torre</dc:creator>
  <cp:lastModifiedBy>bed</cp:lastModifiedBy>
  <cp:revision>2</cp:revision>
  <dcterms:created xsi:type="dcterms:W3CDTF">2017-09-05T12:38:00Z</dcterms:created>
  <dcterms:modified xsi:type="dcterms:W3CDTF">2017-09-05T12:38:00Z</dcterms:modified>
</cp:coreProperties>
</file>