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745" w14:textId="1D1AC5D0" w:rsidR="00221880" w:rsidRPr="00221880" w:rsidRDefault="006A7733" w:rsidP="00221880">
      <w:pPr>
        <w:widowControl w:val="0"/>
        <w:spacing w:before="60" w:after="60" w:line="240" w:lineRule="auto"/>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SLCJ</w:t>
      </w:r>
      <w:r w:rsidR="00221880" w:rsidRPr="00221880">
        <w:rPr>
          <w:rFonts w:ascii="Times New Roman" w:eastAsia="Times New Roman" w:hAnsi="Times New Roman" w:cs="Times New Roman"/>
          <w:b/>
          <w:lang w:val="en-US"/>
        </w:rPr>
        <w:t>Description</w:t>
      </w:r>
      <w:proofErr w:type="spellEnd"/>
      <w:r w:rsidR="00221880" w:rsidRPr="00221880">
        <w:rPr>
          <w:rFonts w:ascii="Times New Roman" w:eastAsia="Times New Roman" w:hAnsi="Times New Roman" w:cs="Times New Roman"/>
          <w:b/>
          <w:lang w:val="en-US"/>
        </w:rPr>
        <w:t xml:space="preserve"> of the infrastructure</w:t>
      </w:r>
    </w:p>
    <w:p w14:paraId="372CEC5A" w14:textId="56CFE91E"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Name of the infrastructure (and its installations, if applicable):</w:t>
      </w:r>
    </w:p>
    <w:p w14:paraId="012F1139" w14:textId="1A3A499E" w:rsidR="002F5D46" w:rsidRPr="00F8504B" w:rsidRDefault="009B0AFC" w:rsidP="00221880">
      <w:pPr>
        <w:widowControl w:val="0"/>
        <w:spacing w:before="60" w:after="60" w:line="240" w:lineRule="auto"/>
        <w:rPr>
          <w:rFonts w:ascii="Times New Roman" w:eastAsia="Times New Roman" w:hAnsi="Times New Roman" w:cs="Times New Roman"/>
          <w:iCs/>
          <w:color w:val="ED7D31" w:themeColor="accent2"/>
          <w:lang w:val="en-US"/>
        </w:rPr>
      </w:pPr>
      <w:r w:rsidRPr="00F8504B">
        <w:rPr>
          <w:rFonts w:ascii="Times New Roman" w:eastAsia="Times New Roman" w:hAnsi="Times New Roman" w:cs="Times New Roman"/>
          <w:iCs/>
          <w:color w:val="ED7D31" w:themeColor="accent2"/>
          <w:lang w:val="en-US"/>
        </w:rPr>
        <w:t>NLC-SLCJ</w:t>
      </w:r>
    </w:p>
    <w:p w14:paraId="4926FFA6" w14:textId="0EC25DDA" w:rsidR="009B0AFC" w:rsidRPr="00F8504B" w:rsidRDefault="009B0AFC" w:rsidP="00221880">
      <w:pPr>
        <w:widowControl w:val="0"/>
        <w:spacing w:before="60" w:after="60" w:line="240" w:lineRule="auto"/>
        <w:rPr>
          <w:rFonts w:ascii="Times New Roman" w:eastAsia="Times New Roman" w:hAnsi="Times New Roman" w:cs="Times New Roman"/>
          <w:iCs/>
          <w:color w:val="4472C4" w:themeColor="accent5"/>
          <w:lang w:val="en-US"/>
        </w:rPr>
      </w:pPr>
      <w:r w:rsidRPr="00F8504B">
        <w:rPr>
          <w:rFonts w:ascii="Times New Roman" w:eastAsia="Times New Roman" w:hAnsi="Times New Roman" w:cs="Times New Roman"/>
          <w:iCs/>
          <w:color w:val="4472C4" w:themeColor="accent5"/>
          <w:lang w:val="en-US"/>
        </w:rPr>
        <w:t>NLC-CCB</w:t>
      </w:r>
    </w:p>
    <w:p w14:paraId="3768420B" w14:textId="751DFF5F" w:rsidR="00AD0EB7" w:rsidRDefault="00221880" w:rsidP="00AD0EB7">
      <w:pPr>
        <w:widowControl w:val="0"/>
        <w:spacing w:before="60" w:after="60" w:line="240" w:lineRule="auto"/>
        <w:rPr>
          <w:rFonts w:ascii="Times New Roman" w:eastAsia="Times New Roman" w:hAnsi="Times New Roman" w:cs="Times New Roman"/>
          <w:i/>
          <w:iCs/>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r w:rsidRPr="00221880">
        <w:rPr>
          <w:rFonts w:ascii="Times New Roman" w:eastAsia="Times New Roman" w:hAnsi="Times New Roman" w:cs="Times New Roman"/>
          <w:i/>
          <w:iCs/>
          <w:lang w:val="en-US"/>
        </w:rPr>
        <w:t xml:space="preserve">If the infrastructure comprises more than one installation (i.e. parts of the infrastructure that can be used independently and for which the operating costs can be singled out) at different locations, indicate briefly the location of each installation and give a justification for considering </w:t>
      </w:r>
      <w:r w:rsidR="00AD0EB7" w:rsidRPr="00221880">
        <w:rPr>
          <w:rFonts w:ascii="Times New Roman" w:eastAsia="Times New Roman" w:hAnsi="Times New Roman" w:cs="Times New Roman"/>
          <w:i/>
          <w:iCs/>
          <w:lang w:val="en-US"/>
        </w:rPr>
        <w:t>them as a single infrastructure.</w:t>
      </w:r>
    </w:p>
    <w:p w14:paraId="3846B8F1" w14:textId="6D24CA0D" w:rsidR="00AD0EB7" w:rsidRDefault="00AD0EB7" w:rsidP="00AD0EB7">
      <w:pPr>
        <w:widowControl w:val="0"/>
        <w:spacing w:before="60" w:after="60" w:line="240" w:lineRule="auto"/>
        <w:rPr>
          <w:rFonts w:ascii="Times New Roman" w:eastAsia="Times New Roman" w:hAnsi="Times New Roman" w:cs="Times New Roman"/>
          <w:lang w:val="en-US"/>
        </w:rPr>
      </w:pPr>
      <w:r w:rsidRPr="00AD0EB7">
        <w:rPr>
          <w:rFonts w:ascii="Times New Roman" w:eastAsia="Times New Roman" w:hAnsi="Times New Roman" w:cs="Times New Roman"/>
          <w:lang w:val="en-US"/>
        </w:rPr>
        <w:t xml:space="preserve">NLC is a consortium of the two institutions – </w:t>
      </w:r>
    </w:p>
    <w:p w14:paraId="0378329B" w14:textId="0C31CA26" w:rsidR="00AD0EB7" w:rsidRPr="00AD0EB7" w:rsidRDefault="00AD0EB7" w:rsidP="00AD0EB7">
      <w:pPr>
        <w:widowControl w:val="0"/>
        <w:spacing w:before="60" w:after="60" w:line="240" w:lineRule="auto"/>
        <w:rPr>
          <w:rFonts w:ascii="Times New Roman" w:eastAsia="Times New Roman" w:hAnsi="Times New Roman" w:cs="Times New Roman"/>
          <w:color w:val="ED7D31" w:themeColor="accent2"/>
          <w:lang w:val="en-US"/>
        </w:rPr>
      </w:pPr>
      <w:r w:rsidRPr="00AD0EB7">
        <w:rPr>
          <w:rFonts w:ascii="Times New Roman" w:eastAsia="Times New Roman" w:hAnsi="Times New Roman" w:cs="Times New Roman"/>
          <w:color w:val="ED7D31" w:themeColor="accent2"/>
          <w:lang w:val="en-US"/>
        </w:rPr>
        <w:t xml:space="preserve">Heavy Ion Laboratory of the University of Warsaw, Warsaw, Poland (SLCJ) </w:t>
      </w:r>
    </w:p>
    <w:p w14:paraId="353A2306" w14:textId="1ADACF88" w:rsidR="00AD0EB7" w:rsidRPr="00AD0EB7" w:rsidRDefault="00AD0EB7" w:rsidP="00AD0EB7">
      <w:pPr>
        <w:widowControl w:val="0"/>
        <w:spacing w:before="60" w:after="60" w:line="240" w:lineRule="auto"/>
        <w:rPr>
          <w:rFonts w:ascii="Times New Roman" w:eastAsia="Times New Roman" w:hAnsi="Times New Roman" w:cs="Times New Roman"/>
          <w:color w:val="4472C4" w:themeColor="accent5"/>
          <w:lang w:val="pl-PL"/>
        </w:rPr>
      </w:pPr>
      <w:r w:rsidRPr="00AD0EB7">
        <w:rPr>
          <w:rFonts w:ascii="Times New Roman" w:eastAsia="Times New Roman" w:hAnsi="Times New Roman" w:cs="Times New Roman"/>
          <w:lang w:val="pl-PL"/>
        </w:rPr>
        <w:t xml:space="preserve">and </w:t>
      </w:r>
      <w:r>
        <w:rPr>
          <w:rFonts w:ascii="Times New Roman" w:eastAsia="Times New Roman" w:hAnsi="Times New Roman" w:cs="Times New Roman"/>
          <w:lang w:val="pl-PL"/>
        </w:rPr>
        <w:br/>
      </w:r>
      <w:r w:rsidRPr="00AD0EB7">
        <w:rPr>
          <w:rFonts w:ascii="Times New Roman" w:eastAsia="Times New Roman" w:hAnsi="Times New Roman" w:cs="Times New Roman"/>
          <w:color w:val="4472C4" w:themeColor="accent5"/>
          <w:lang w:val="pl-PL"/>
        </w:rPr>
        <w:t>Centrum Cyklotronowe Bronowice, Kraków, Poland (CCB)</w:t>
      </w:r>
    </w:p>
    <w:p w14:paraId="6DE0B8F7" w14:textId="623BA659"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Web site address:</w:t>
      </w:r>
    </w:p>
    <w:p w14:paraId="25699819" w14:textId="0A34DB5B" w:rsidR="009B0AFC" w:rsidRPr="009B0AFC" w:rsidRDefault="001C1D08" w:rsidP="00221880">
      <w:pPr>
        <w:widowControl w:val="0"/>
        <w:spacing w:before="60" w:after="60" w:line="240" w:lineRule="auto"/>
        <w:rPr>
          <w:rFonts w:ascii="Times New Roman" w:eastAsia="Times New Roman" w:hAnsi="Times New Roman" w:cs="Times New Roman"/>
          <w:iCs/>
          <w:color w:val="ED7D31" w:themeColor="accent2"/>
          <w:u w:val="single"/>
          <w:lang w:val="en-US"/>
        </w:rPr>
      </w:pPr>
      <w:hyperlink r:id="rId5" w:history="1">
        <w:r w:rsidR="009B0AFC" w:rsidRPr="009B0AFC">
          <w:rPr>
            <w:rStyle w:val="Hipercze"/>
            <w:rFonts w:ascii="Times New Roman" w:eastAsia="Times New Roman" w:hAnsi="Times New Roman" w:cs="Times New Roman"/>
            <w:iCs/>
            <w:color w:val="ED7D31" w:themeColor="accent2"/>
            <w:lang w:val="en-US"/>
          </w:rPr>
          <w:t>www.slcj.uw.edu.pl</w:t>
        </w:r>
      </w:hyperlink>
    </w:p>
    <w:p w14:paraId="6F9F78FD" w14:textId="2B93B9E8" w:rsidR="009B0AFC" w:rsidRPr="009B0AFC" w:rsidRDefault="009B0AFC" w:rsidP="00221880">
      <w:pPr>
        <w:widowControl w:val="0"/>
        <w:spacing w:before="60" w:after="60" w:line="240" w:lineRule="auto"/>
        <w:rPr>
          <w:rFonts w:ascii="Times New Roman" w:eastAsia="Times New Roman" w:hAnsi="Times New Roman" w:cs="Times New Roman"/>
          <w:iCs/>
          <w:color w:val="4472C4" w:themeColor="accent5"/>
          <w:u w:val="single"/>
          <w:lang w:val="en-US"/>
        </w:rPr>
      </w:pPr>
      <w:r w:rsidRPr="009B0AFC">
        <w:rPr>
          <w:rFonts w:ascii="Times New Roman" w:eastAsia="Times New Roman" w:hAnsi="Times New Roman" w:cs="Times New Roman"/>
          <w:iCs/>
          <w:color w:val="4472C4" w:themeColor="accent5"/>
          <w:u w:val="single"/>
          <w:lang w:val="en-US"/>
        </w:rPr>
        <w:t>www.ifj.edu.pl</w:t>
      </w:r>
    </w:p>
    <w:p w14:paraId="6124C095" w14:textId="31F1371B"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Annual operating costs (excl. investment costs) of the infrastructure (€):</w:t>
      </w:r>
    </w:p>
    <w:p w14:paraId="47740FE8" w14:textId="404BB08A" w:rsidR="00AD0EB7" w:rsidRPr="00AD0EB7" w:rsidRDefault="00D518FC" w:rsidP="00AD0EB7">
      <w:pPr>
        <w:textAlignment w:val="baseline"/>
        <w:rPr>
          <w:rFonts w:ascii="Times New Roman" w:hAnsi="Times New Roman" w:cs="Times New Roman"/>
          <w:noProof/>
          <w:color w:val="ED7D31" w:themeColor="accent2"/>
        </w:rPr>
      </w:pPr>
      <w:r>
        <w:rPr>
          <w:rFonts w:ascii="Times New Roman" w:hAnsi="Times New Roman" w:cs="Times New Roman"/>
          <w:noProof/>
          <w:color w:val="ED7D31" w:themeColor="accent2"/>
        </w:rPr>
        <w:t xml:space="preserve">SLCJ: </w:t>
      </w:r>
      <w:r w:rsidR="00AD0EB7" w:rsidRPr="00AD0EB7">
        <w:rPr>
          <w:rFonts w:ascii="Times New Roman" w:hAnsi="Times New Roman" w:cs="Times New Roman"/>
          <w:noProof/>
          <w:color w:val="ED7D31" w:themeColor="accent2"/>
        </w:rPr>
        <w:t xml:space="preserve">6 984 103.20zł = 1 693 444.35 </w:t>
      </w:r>
      <w:r w:rsidR="00AD0EB7" w:rsidRPr="00AD0EB7">
        <w:rPr>
          <w:rFonts w:ascii="Times New Roman" w:eastAsia="Times New Roman" w:hAnsi="Times New Roman" w:cs="Times New Roman"/>
          <w:iCs/>
          <w:color w:val="ED7D31" w:themeColor="accent2"/>
          <w:u w:val="single"/>
          <w:lang w:val="en-US"/>
        </w:rPr>
        <w:t>€</w:t>
      </w:r>
      <w:r w:rsidR="00AD0EB7" w:rsidRPr="00AD0EB7">
        <w:rPr>
          <w:rFonts w:ascii="Times New Roman" w:hAnsi="Times New Roman" w:cs="Times New Roman"/>
          <w:noProof/>
          <w:color w:val="ED7D31" w:themeColor="accent2"/>
        </w:rPr>
        <w:t xml:space="preserve"> (for 2020, ECB avarage exchange rate </w:t>
      </w:r>
      <w:r w:rsidR="00AD0EB7" w:rsidRPr="009B0AFC">
        <w:rPr>
          <w:rFonts w:ascii="Times New Roman" w:hAnsi="Times New Roman" w:cs="Times New Roman"/>
          <w:noProof/>
          <w:color w:val="ED7D31" w:themeColor="accent2"/>
        </w:rPr>
        <w:t>4.1242</w:t>
      </w:r>
      <w:r w:rsidR="00AD0EB7" w:rsidRPr="00AD0EB7">
        <w:rPr>
          <w:rFonts w:ascii="Times New Roman" w:hAnsi="Times New Roman" w:cs="Times New Roman"/>
          <w:noProof/>
          <w:color w:val="ED7D31" w:themeColor="accent2"/>
        </w:rPr>
        <w:t>)</w:t>
      </w:r>
    </w:p>
    <w:p w14:paraId="0B1543DE" w14:textId="257BACF0" w:rsidR="00D518FC" w:rsidRPr="00D518FC" w:rsidRDefault="00D518FC" w:rsidP="00D518FC">
      <w:pPr>
        <w:textAlignment w:val="baseline"/>
        <w:rPr>
          <w:rFonts w:ascii="Times New Roman" w:hAnsi="Times New Roman" w:cs="Times New Roman"/>
          <w:noProof/>
          <w:color w:val="4472C4" w:themeColor="accent5"/>
        </w:rPr>
      </w:pPr>
      <w:r w:rsidRPr="00D518FC">
        <w:rPr>
          <w:rFonts w:ascii="Times New Roman" w:hAnsi="Times New Roman" w:cs="Times New Roman"/>
          <w:noProof/>
          <w:color w:val="4472C4" w:themeColor="accent5"/>
        </w:rPr>
        <w:t>CCB (incl. medical part): 2.5 M€</w:t>
      </w:r>
    </w:p>
    <w:p w14:paraId="59FD00D9" w14:textId="5D4FB513" w:rsidR="00221880"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Give a brief general description of the infrastructure to which access is offered. Illustrate, in particular, its state-of-the-art equipment and services offered to users that make it rare or unique in Europe. Outline the areas of research normally supported by the infrastructure, as well as new areas opening to users,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6ADDDADD" w14:textId="77777777" w:rsidR="00AD0EB7" w:rsidRPr="00867403" w:rsidRDefault="00AD0EB7" w:rsidP="00AD0EB7">
      <w:pPr>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SLCJ  Warsaw:</w:t>
      </w:r>
    </w:p>
    <w:p w14:paraId="5C224FBD" w14:textId="77777777" w:rsidR="00AD0EB7" w:rsidRPr="00867403" w:rsidRDefault="00AD0EB7" w:rsidP="00AD0EB7">
      <w:pPr>
        <w:rPr>
          <w:rFonts w:ascii="Times New Roman" w:hAnsi="Times New Roman" w:cs="Times New Roman"/>
          <w:color w:val="ED7D31" w:themeColor="accent2"/>
        </w:rPr>
      </w:pPr>
      <w:r w:rsidRPr="00867403">
        <w:rPr>
          <w:rFonts w:ascii="Times New Roman" w:hAnsi="Times New Roman" w:cs="Times New Roman"/>
          <w:color w:val="ED7D31" w:themeColor="accent2"/>
          <w:lang w:val="en-US"/>
        </w:rPr>
        <w:t>- Isochronous heavy-ion cyclotron (K=160)</w:t>
      </w:r>
      <w:r w:rsidRPr="00867403">
        <w:rPr>
          <w:rFonts w:ascii="Times New Roman" w:hAnsi="Times New Roman" w:cs="Times New Roman"/>
          <w:b/>
          <w:color w:val="ED7D31" w:themeColor="accent2"/>
          <w:lang w:val="en-US"/>
        </w:rPr>
        <w:t>,</w:t>
      </w:r>
      <w:r w:rsidRPr="00867403">
        <w:rPr>
          <w:rFonts w:ascii="Times New Roman" w:hAnsi="Times New Roman" w:cs="Times New Roman"/>
          <w:color w:val="ED7D31" w:themeColor="accent2"/>
          <w:lang w:val="en-US"/>
        </w:rPr>
        <w:t xml:space="preserve"> equipped with </w:t>
      </w:r>
      <w:r w:rsidRPr="00867403">
        <w:rPr>
          <w:rFonts w:ascii="Times New Roman" w:hAnsi="Times New Roman" w:cs="Times New Roman"/>
          <w:color w:val="ED7D31" w:themeColor="accent2"/>
        </w:rPr>
        <w:t xml:space="preserve">with the two ECR sources, accelerating beams from He up to </w:t>
      </w:r>
      <w:proofErr w:type="spellStart"/>
      <w:r w:rsidRPr="00867403">
        <w:rPr>
          <w:rFonts w:ascii="Times New Roman" w:hAnsi="Times New Roman" w:cs="Times New Roman"/>
          <w:color w:val="ED7D31" w:themeColor="accent2"/>
        </w:rPr>
        <w:t>Ar</w:t>
      </w:r>
      <w:proofErr w:type="spellEnd"/>
      <w:r w:rsidRPr="00867403">
        <w:rPr>
          <w:rFonts w:ascii="Times New Roman" w:hAnsi="Times New Roman" w:cs="Times New Roman"/>
          <w:color w:val="ED7D31" w:themeColor="accent2"/>
        </w:rPr>
        <w:t xml:space="preserve"> (soon up to Xe) up to energy of 10 MeV/A</w:t>
      </w:r>
    </w:p>
    <w:p w14:paraId="6DDE3642" w14:textId="20ED67BE" w:rsidR="00AD0EB7" w:rsidRPr="00867403" w:rsidRDefault="00AD0EB7" w:rsidP="00AD0EB7">
      <w:pPr>
        <w:numPr>
          <w:ilvl w:val="0"/>
          <w:numId w:val="1"/>
        </w:numPr>
        <w:spacing w:after="0" w:line="240" w:lineRule="auto"/>
        <w:jc w:val="both"/>
        <w:rPr>
          <w:rFonts w:ascii="Times New Roman" w:hAnsi="Times New Roman" w:cs="Times New Roman"/>
          <w:b/>
          <w:bCs/>
          <w:color w:val="ED7D31" w:themeColor="accent2"/>
          <w:lang w:val="en-US"/>
        </w:rPr>
      </w:pPr>
      <w:r w:rsidRPr="00867403">
        <w:rPr>
          <w:rFonts w:ascii="Times New Roman" w:hAnsi="Times New Roman" w:cs="Times New Roman"/>
          <w:color w:val="ED7D31" w:themeColor="accent2"/>
          <w:lang w:val="en-US"/>
        </w:rPr>
        <w:t xml:space="preserve">4π gamma-ray array </w:t>
      </w:r>
      <w:r w:rsidRPr="00867403">
        <w:rPr>
          <w:rFonts w:ascii="Times New Roman" w:hAnsi="Times New Roman" w:cs="Times New Roman"/>
          <w:b/>
          <w:bCs/>
          <w:color w:val="ED7D31" w:themeColor="accent2"/>
          <w:lang w:val="en-US"/>
        </w:rPr>
        <w:t>EAGLE</w:t>
      </w:r>
      <w:r w:rsidRPr="00867403">
        <w:rPr>
          <w:rFonts w:ascii="Times New Roman" w:hAnsi="Times New Roman" w:cs="Times New Roman"/>
          <w:color w:val="ED7D31" w:themeColor="accent2"/>
          <w:lang w:val="en-US"/>
        </w:rPr>
        <w:t xml:space="preserve"> (20 HPG detectors with anti-Compton shielding) and associated </w:t>
      </w:r>
      <w:r w:rsidR="009F4321" w:rsidRPr="00867403">
        <w:rPr>
          <w:rFonts w:ascii="Times New Roman" w:hAnsi="Times New Roman" w:cs="Times New Roman"/>
          <w:color w:val="ED7D31" w:themeColor="accent2"/>
          <w:lang w:val="en-US"/>
        </w:rPr>
        <w:t>ancillary</w:t>
      </w:r>
      <w:r w:rsidRPr="00867403">
        <w:rPr>
          <w:rFonts w:ascii="Times New Roman" w:hAnsi="Times New Roman" w:cs="Times New Roman"/>
          <w:color w:val="ED7D31" w:themeColor="accent2"/>
          <w:lang w:val="en-US"/>
        </w:rPr>
        <w:t xml:space="preserve"> detectors (scattering chamber with pin-diode detectors, </w:t>
      </w:r>
      <w:r w:rsidRPr="00867403">
        <w:rPr>
          <w:rFonts w:ascii="Times New Roman" w:hAnsi="Times New Roman" w:cs="Times New Roman"/>
          <w:bCs/>
          <w:color w:val="ED7D31" w:themeColor="accent2"/>
          <w:lang w:val="en-US"/>
        </w:rPr>
        <w:t>4</w:t>
      </w:r>
      <w:r w:rsidRPr="00867403">
        <w:rPr>
          <w:rFonts w:ascii="Times New Roman" w:hAnsi="Times New Roman" w:cs="Times New Roman"/>
          <w:bCs/>
          <w:color w:val="ED7D31" w:themeColor="accent2"/>
          <w:lang w:val="it-IT"/>
        </w:rPr>
        <w:t>π</w:t>
      </w:r>
      <w:r w:rsidRPr="00867403">
        <w:rPr>
          <w:rFonts w:ascii="Times New Roman" w:hAnsi="Times New Roman" w:cs="Times New Roman"/>
          <w:bCs/>
          <w:color w:val="ED7D31" w:themeColor="accent2"/>
          <w:lang w:val="en-US"/>
        </w:rPr>
        <w:t xml:space="preserve"> charged particle multiplicity filter, </w:t>
      </w:r>
      <w:r w:rsidRPr="00867403">
        <w:rPr>
          <w:rFonts w:ascii="Times New Roman" w:hAnsi="Times New Roman" w:cs="Times New Roman"/>
          <w:color w:val="ED7D31" w:themeColor="accent2"/>
          <w:lang w:val="en-US"/>
        </w:rPr>
        <w:t xml:space="preserve"> internal conversion electron spectrometer</w:t>
      </w:r>
      <w:r w:rsidR="009F4321" w:rsidRPr="00867403">
        <w:rPr>
          <w:rFonts w:ascii="Times New Roman" w:hAnsi="Times New Roman" w:cs="Times New Roman"/>
          <w:color w:val="ED7D31" w:themeColor="accent2"/>
          <w:lang w:val="en-US"/>
        </w:rPr>
        <w:t xml:space="preserve">, possible integration with </w:t>
      </w:r>
      <w:r w:rsidR="00F8504B" w:rsidRPr="00867403">
        <w:rPr>
          <w:rFonts w:ascii="Times New Roman" w:hAnsi="Times New Roman" w:cs="Times New Roman"/>
          <w:color w:val="ED7D31" w:themeColor="accent2"/>
          <w:lang w:val="en-US"/>
        </w:rPr>
        <w:t xml:space="preserve">the </w:t>
      </w:r>
      <w:r w:rsidR="009F4321" w:rsidRPr="00867403">
        <w:rPr>
          <w:rFonts w:ascii="Times New Roman" w:hAnsi="Times New Roman" w:cs="Times New Roman"/>
          <w:b/>
          <w:bCs/>
          <w:color w:val="ED7D31" w:themeColor="accent2"/>
          <w:lang w:val="en-US"/>
        </w:rPr>
        <w:t>PARIS</w:t>
      </w:r>
      <w:r w:rsidR="00F8504B" w:rsidRPr="00867403">
        <w:rPr>
          <w:rFonts w:ascii="Times New Roman" w:hAnsi="Times New Roman" w:cs="Times New Roman"/>
          <w:color w:val="ED7D31" w:themeColor="accent2"/>
          <w:lang w:val="en-US"/>
        </w:rPr>
        <w:t xml:space="preserve"> gamma-ray calorimeter</w:t>
      </w:r>
      <w:r w:rsidR="009F4321" w:rsidRPr="00867403">
        <w:rPr>
          <w:rFonts w:ascii="Times New Roman" w:hAnsi="Times New Roman" w:cs="Times New Roman"/>
          <w:color w:val="ED7D31" w:themeColor="accent2"/>
          <w:lang w:val="en-US"/>
        </w:rPr>
        <w:t xml:space="preserve"> and </w:t>
      </w:r>
      <w:r w:rsidR="00F8504B" w:rsidRPr="00867403">
        <w:rPr>
          <w:rFonts w:ascii="Times New Roman" w:hAnsi="Times New Roman" w:cs="Times New Roman"/>
          <w:color w:val="ED7D31" w:themeColor="accent2"/>
          <w:lang w:val="en-US"/>
        </w:rPr>
        <w:t xml:space="preserve">the </w:t>
      </w:r>
      <w:r w:rsidR="009F4321" w:rsidRPr="00867403">
        <w:rPr>
          <w:rFonts w:ascii="Times New Roman" w:hAnsi="Times New Roman" w:cs="Times New Roman"/>
          <w:b/>
          <w:bCs/>
          <w:color w:val="ED7D31" w:themeColor="accent2"/>
          <w:lang w:val="en-US"/>
        </w:rPr>
        <w:t>NEDA</w:t>
      </w:r>
      <w:r w:rsidR="00F8504B" w:rsidRPr="00867403">
        <w:rPr>
          <w:rFonts w:ascii="Times New Roman" w:hAnsi="Times New Roman" w:cs="Times New Roman"/>
          <w:color w:val="ED7D31" w:themeColor="accent2"/>
          <w:lang w:val="en-US"/>
        </w:rPr>
        <w:t xml:space="preserve"> neutron detector</w:t>
      </w:r>
      <w:r w:rsidRPr="00867403">
        <w:rPr>
          <w:rFonts w:ascii="Times New Roman" w:hAnsi="Times New Roman" w:cs="Times New Roman"/>
          <w:color w:val="ED7D31" w:themeColor="accent2"/>
          <w:lang w:val="en-US"/>
        </w:rPr>
        <w:t>)</w:t>
      </w:r>
      <w:r w:rsidR="00BB5557">
        <w:rPr>
          <w:rFonts w:ascii="Times New Roman" w:hAnsi="Times New Roman" w:cs="Times New Roman"/>
          <w:color w:val="ED7D31" w:themeColor="accent2"/>
          <w:lang w:val="en-US"/>
        </w:rPr>
        <w:t>,</w:t>
      </w:r>
    </w:p>
    <w:p w14:paraId="00D47F30" w14:textId="105840CB" w:rsidR="00AD0EB7" w:rsidRPr="00867403" w:rsidRDefault="009F4321" w:rsidP="00AD0EB7">
      <w:pPr>
        <w:numPr>
          <w:ilvl w:val="0"/>
          <w:numId w:val="1"/>
        </w:numPr>
        <w:spacing w:after="0" w:line="240" w:lineRule="auto"/>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l</w:t>
      </w:r>
      <w:r w:rsidR="00AD0EB7" w:rsidRPr="00867403">
        <w:rPr>
          <w:rFonts w:ascii="Times New Roman" w:hAnsi="Times New Roman" w:cs="Times New Roman"/>
          <w:color w:val="ED7D31" w:themeColor="accent2"/>
          <w:lang w:val="en-US"/>
        </w:rPr>
        <w:t xml:space="preserve">arge, universal scattering chamber </w:t>
      </w:r>
      <w:r w:rsidR="00AD0EB7" w:rsidRPr="00867403">
        <w:rPr>
          <w:rFonts w:ascii="Times New Roman" w:hAnsi="Times New Roman" w:cs="Times New Roman"/>
          <w:b/>
          <w:bCs/>
          <w:color w:val="ED7D31" w:themeColor="accent2"/>
          <w:lang w:val="en-US"/>
        </w:rPr>
        <w:t>ICARE</w:t>
      </w:r>
      <w:r w:rsidR="00AD0EB7" w:rsidRPr="00867403">
        <w:rPr>
          <w:rFonts w:ascii="Times New Roman" w:hAnsi="Times New Roman" w:cs="Times New Roman"/>
          <w:color w:val="ED7D31" w:themeColor="accent2"/>
          <w:lang w:val="en-US"/>
        </w:rPr>
        <w:t xml:space="preserve"> (from </w:t>
      </w:r>
      <w:proofErr w:type="spellStart"/>
      <w:r w:rsidR="00AD0EB7" w:rsidRPr="00867403">
        <w:rPr>
          <w:rFonts w:ascii="Times New Roman" w:hAnsi="Times New Roman" w:cs="Times New Roman"/>
          <w:color w:val="ED7D31" w:themeColor="accent2"/>
          <w:lang w:val="en-US"/>
        </w:rPr>
        <w:t>IReS</w:t>
      </w:r>
      <w:proofErr w:type="spellEnd"/>
      <w:r w:rsidR="00AD0EB7" w:rsidRPr="00867403">
        <w:rPr>
          <w:rFonts w:ascii="Times New Roman" w:hAnsi="Times New Roman" w:cs="Times New Roman"/>
          <w:color w:val="ED7D31" w:themeColor="accent2"/>
          <w:lang w:val="en-US"/>
        </w:rPr>
        <w:t xml:space="preserve"> Strasbourg)</w:t>
      </w:r>
      <w:r w:rsidR="00BB5557">
        <w:rPr>
          <w:rFonts w:ascii="Times New Roman" w:hAnsi="Times New Roman" w:cs="Times New Roman"/>
          <w:color w:val="ED7D31" w:themeColor="accent2"/>
          <w:lang w:val="en-US"/>
        </w:rPr>
        <w:t>,</w:t>
      </w:r>
    </w:p>
    <w:p w14:paraId="731FF5A1" w14:textId="1D511A78" w:rsidR="00AD0EB7" w:rsidRPr="00867403" w:rsidRDefault="00AD0EB7" w:rsidP="00AD0EB7">
      <w:pPr>
        <w:numPr>
          <w:ilvl w:val="0"/>
          <w:numId w:val="1"/>
        </w:numPr>
        <w:spacing w:after="0" w:line="240" w:lineRule="auto"/>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 xml:space="preserve">scattering chamber </w:t>
      </w:r>
      <w:r w:rsidRPr="00867403">
        <w:rPr>
          <w:rFonts w:ascii="Times New Roman" w:hAnsi="Times New Roman" w:cs="Times New Roman"/>
          <w:b/>
          <w:bCs/>
          <w:color w:val="ED7D31" w:themeColor="accent2"/>
          <w:lang w:val="en-US"/>
        </w:rPr>
        <w:t>CUDAC</w:t>
      </w:r>
      <w:r w:rsidRPr="00867403">
        <w:rPr>
          <w:rFonts w:ascii="Times New Roman" w:hAnsi="Times New Roman" w:cs="Times New Roman"/>
          <w:color w:val="ED7D31" w:themeColor="accent2"/>
          <w:lang w:val="en-US"/>
        </w:rPr>
        <w:t xml:space="preserve"> </w:t>
      </w:r>
      <w:r w:rsidR="009F4321" w:rsidRPr="00867403">
        <w:rPr>
          <w:rFonts w:ascii="Times New Roman" w:hAnsi="Times New Roman" w:cs="Times New Roman"/>
          <w:color w:val="ED7D31" w:themeColor="accent2"/>
          <w:lang w:val="en-US"/>
        </w:rPr>
        <w:t>for a charge particles spectroscopy</w:t>
      </w:r>
      <w:r w:rsidR="00BB5557">
        <w:rPr>
          <w:rFonts w:ascii="Times New Roman" w:hAnsi="Times New Roman" w:cs="Times New Roman"/>
          <w:color w:val="ED7D31" w:themeColor="accent2"/>
          <w:lang w:val="en-US"/>
        </w:rPr>
        <w:t>,</w:t>
      </w:r>
      <w:r w:rsidRPr="00867403">
        <w:rPr>
          <w:rFonts w:ascii="Times New Roman" w:hAnsi="Times New Roman" w:cs="Times New Roman"/>
          <w:color w:val="ED7D31" w:themeColor="accent2"/>
          <w:lang w:val="en-US"/>
        </w:rPr>
        <w:t xml:space="preserve"> </w:t>
      </w:r>
    </w:p>
    <w:p w14:paraId="46F7C47B" w14:textId="4D84876B" w:rsidR="00BB5557" w:rsidRPr="00867403" w:rsidRDefault="00BB5557" w:rsidP="00BB5557">
      <w:pPr>
        <w:numPr>
          <w:ilvl w:val="0"/>
          <w:numId w:val="1"/>
        </w:numPr>
        <w:spacing w:after="0" w:line="240" w:lineRule="auto"/>
        <w:jc w:val="both"/>
        <w:rPr>
          <w:rFonts w:ascii="Times New Roman" w:hAnsi="Times New Roman" w:cs="Times New Roman"/>
          <w:color w:val="ED7D31" w:themeColor="accent2"/>
          <w:lang w:val="en-US"/>
        </w:rPr>
      </w:pPr>
      <w:r>
        <w:rPr>
          <w:rFonts w:ascii="Times New Roman" w:hAnsi="Times New Roman" w:cs="Times New Roman"/>
          <w:color w:val="ED7D31" w:themeColor="accent2"/>
          <w:lang w:val="en-US"/>
        </w:rPr>
        <w:t>g</w:t>
      </w:r>
      <w:r w:rsidRPr="00867403">
        <w:rPr>
          <w:rFonts w:ascii="Times New Roman" w:hAnsi="Times New Roman" w:cs="Times New Roman"/>
          <w:color w:val="ED7D31" w:themeColor="accent2"/>
          <w:lang w:val="en-US"/>
        </w:rPr>
        <w:t xml:space="preserve">amma-ray spectrometer </w:t>
      </w:r>
      <w:r w:rsidRPr="00867403">
        <w:rPr>
          <w:rFonts w:ascii="Times New Roman" w:hAnsi="Times New Roman" w:cs="Times New Roman"/>
          <w:b/>
          <w:bCs/>
          <w:color w:val="ED7D31" w:themeColor="accent2"/>
          <w:lang w:val="en-US"/>
        </w:rPr>
        <w:t xml:space="preserve">JANOSIK </w:t>
      </w:r>
      <w:r w:rsidRPr="00867403">
        <w:rPr>
          <w:rFonts w:ascii="Times New Roman" w:hAnsi="Times New Roman" w:cs="Times New Roman"/>
          <w:color w:val="ED7D31" w:themeColor="accent2"/>
          <w:lang w:val="en-US"/>
        </w:rPr>
        <w:t>for GDR studies</w:t>
      </w:r>
      <w:r>
        <w:rPr>
          <w:rFonts w:ascii="Times New Roman" w:hAnsi="Times New Roman" w:cs="Times New Roman"/>
          <w:color w:val="ED7D31" w:themeColor="accent2"/>
          <w:lang w:val="en-US"/>
        </w:rPr>
        <w:t>,</w:t>
      </w:r>
    </w:p>
    <w:p w14:paraId="107C2D5B" w14:textId="635ABE2B" w:rsidR="009F4321" w:rsidRPr="00867403" w:rsidRDefault="009F4321" w:rsidP="00AD0EB7">
      <w:pPr>
        <w:numPr>
          <w:ilvl w:val="0"/>
          <w:numId w:val="1"/>
        </w:numPr>
        <w:spacing w:after="0" w:line="240" w:lineRule="auto"/>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irradiation station for radiobiology</w:t>
      </w:r>
      <w:r w:rsidR="00334B7B">
        <w:rPr>
          <w:rFonts w:ascii="Times New Roman" w:hAnsi="Times New Roman" w:cs="Times New Roman"/>
          <w:color w:val="ED7D31" w:themeColor="accent2"/>
          <w:lang w:val="en-US"/>
        </w:rPr>
        <w:t xml:space="preserve"> </w:t>
      </w:r>
      <w:r w:rsidR="00334B7B" w:rsidRPr="00867403">
        <w:rPr>
          <w:rFonts w:ascii="Times New Roman" w:hAnsi="Times New Roman" w:cs="Times New Roman"/>
          <w:color w:val="ED7D31" w:themeColor="accent2"/>
          <w:lang w:val="en-US"/>
        </w:rPr>
        <w:t>(with a cells’ laboratory infrastructure)</w:t>
      </w:r>
      <w:r w:rsidRPr="00867403">
        <w:rPr>
          <w:rFonts w:ascii="Times New Roman" w:hAnsi="Times New Roman" w:cs="Times New Roman"/>
          <w:color w:val="ED7D31" w:themeColor="accent2"/>
          <w:lang w:val="en-US"/>
        </w:rPr>
        <w:t xml:space="preserve"> and material </w:t>
      </w:r>
      <w:r w:rsidR="00334B7B">
        <w:rPr>
          <w:rFonts w:ascii="Times New Roman" w:hAnsi="Times New Roman" w:cs="Times New Roman"/>
          <w:color w:val="ED7D31" w:themeColor="accent2"/>
          <w:lang w:val="en-US"/>
        </w:rPr>
        <w:t xml:space="preserve">interdisciplinary </w:t>
      </w:r>
      <w:r w:rsidRPr="00867403">
        <w:rPr>
          <w:rFonts w:ascii="Times New Roman" w:hAnsi="Times New Roman" w:cs="Times New Roman"/>
          <w:color w:val="ED7D31" w:themeColor="accent2"/>
          <w:lang w:val="en-US"/>
        </w:rPr>
        <w:t>studies,</w:t>
      </w:r>
    </w:p>
    <w:p w14:paraId="3E4BA3D1" w14:textId="2CBFE738" w:rsidR="00AD0EB7" w:rsidRPr="00867403" w:rsidRDefault="00AD0EB7" w:rsidP="00AD0EB7">
      <w:pPr>
        <w:numPr>
          <w:ilvl w:val="0"/>
          <w:numId w:val="1"/>
        </w:numPr>
        <w:spacing w:after="0" w:line="240" w:lineRule="auto"/>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irradiation chambers with target water cooling;</w:t>
      </w:r>
      <w:r w:rsidR="00BB5557">
        <w:rPr>
          <w:rFonts w:ascii="Times New Roman" w:hAnsi="Times New Roman" w:cs="Times New Roman"/>
          <w:color w:val="ED7D31" w:themeColor="accent2"/>
          <w:lang w:val="en-US"/>
        </w:rPr>
        <w:t>,</w:t>
      </w:r>
    </w:p>
    <w:p w14:paraId="76D86DC7" w14:textId="77777777" w:rsidR="00AD0EB7" w:rsidRPr="00867403" w:rsidRDefault="00AD0EB7" w:rsidP="00AD0EB7">
      <w:pPr>
        <w:numPr>
          <w:ilvl w:val="0"/>
          <w:numId w:val="1"/>
        </w:numPr>
        <w:spacing w:after="0" w:line="240" w:lineRule="auto"/>
        <w:jc w:val="both"/>
        <w:rPr>
          <w:rFonts w:ascii="Times New Roman" w:hAnsi="Times New Roman" w:cs="Times New Roman"/>
          <w:color w:val="ED7D31" w:themeColor="accent2"/>
          <w:lang w:val="en-US"/>
        </w:rPr>
      </w:pPr>
      <w:r w:rsidRPr="00867403">
        <w:rPr>
          <w:rFonts w:ascii="Times New Roman" w:hAnsi="Times New Roman" w:cs="Times New Roman"/>
          <w:color w:val="ED7D31" w:themeColor="accent2"/>
          <w:lang w:val="en-US"/>
        </w:rPr>
        <w:t xml:space="preserve">low background lead shielded </w:t>
      </w:r>
      <w:proofErr w:type="spellStart"/>
      <w:r w:rsidRPr="00867403">
        <w:rPr>
          <w:rFonts w:ascii="Times New Roman" w:hAnsi="Times New Roman" w:cs="Times New Roman"/>
          <w:color w:val="ED7D31" w:themeColor="accent2"/>
          <w:lang w:val="en-US"/>
        </w:rPr>
        <w:t>HPGe</w:t>
      </w:r>
      <w:proofErr w:type="spellEnd"/>
      <w:r w:rsidRPr="00867403">
        <w:rPr>
          <w:rFonts w:ascii="Times New Roman" w:hAnsi="Times New Roman" w:cs="Times New Roman"/>
          <w:color w:val="ED7D31" w:themeColor="accent2"/>
          <w:lang w:val="en-US"/>
        </w:rPr>
        <w:t xml:space="preserve"> counters. </w:t>
      </w:r>
    </w:p>
    <w:p w14:paraId="41D870E4" w14:textId="77777777" w:rsidR="00AD0EB7" w:rsidRPr="00555C58" w:rsidRDefault="00AD0EB7" w:rsidP="00867403">
      <w:pPr>
        <w:spacing w:before="60" w:after="60"/>
        <w:jc w:val="both"/>
        <w:rPr>
          <w:rFonts w:ascii="Times New Roman" w:hAnsi="Times New Roman" w:cs="Times New Roman"/>
          <w:b/>
          <w:color w:val="4472C4" w:themeColor="accent5"/>
          <w:lang w:val="pl-PL"/>
        </w:rPr>
      </w:pPr>
      <w:r w:rsidRPr="00555C58">
        <w:rPr>
          <w:rFonts w:ascii="Times New Roman" w:hAnsi="Times New Roman" w:cs="Times New Roman"/>
          <w:color w:val="4472C4" w:themeColor="accent5"/>
          <w:lang w:val="pl-PL"/>
        </w:rPr>
        <w:t>CCB Krakow:</w:t>
      </w:r>
    </w:p>
    <w:p w14:paraId="0498089B" w14:textId="37F17302" w:rsidR="00AD0EB7" w:rsidRPr="00555C58" w:rsidRDefault="00AD0EB7" w:rsidP="00460B46">
      <w:pPr>
        <w:spacing w:after="0" w:line="240" w:lineRule="auto"/>
        <w:rPr>
          <w:rFonts w:ascii="Times New Roman" w:hAnsi="Times New Roman" w:cs="Times New Roman"/>
          <w:color w:val="4472C4" w:themeColor="accent5"/>
          <w:lang w:val="pl-PL"/>
        </w:rPr>
      </w:pPr>
      <w:r w:rsidRPr="00555C58">
        <w:rPr>
          <w:rFonts w:ascii="Times New Roman" w:hAnsi="Times New Roman" w:cs="Times New Roman"/>
          <w:color w:val="4472C4" w:themeColor="accent5"/>
          <w:lang w:val="pl-PL"/>
        </w:rPr>
        <w:t xml:space="preserve">- Proton cyclotron PROTEUS (IBA) </w:t>
      </w:r>
    </w:p>
    <w:p w14:paraId="07AD97F3" w14:textId="77777777" w:rsidR="00460B46" w:rsidRDefault="00867403" w:rsidP="00460B46">
      <w:pPr>
        <w:spacing w:after="0" w:line="240" w:lineRule="auto"/>
        <w:ind w:left="717" w:hanging="360"/>
        <w:rPr>
          <w:rFonts w:ascii="Times New Roman" w:hAnsi="Times New Roman" w:cs="Times New Roman"/>
          <w:color w:val="4472C4" w:themeColor="accent5"/>
          <w:lang w:val="en-US"/>
        </w:rPr>
      </w:pPr>
      <w:r w:rsidRPr="00867403">
        <w:rPr>
          <w:rFonts w:ascii="Times New Roman" w:hAnsi="Times New Roman" w:cs="Times New Roman"/>
          <w:b/>
          <w:bCs/>
          <w:color w:val="4472C4" w:themeColor="accent5"/>
          <w:lang w:val="en-US"/>
        </w:rPr>
        <w:t>-</w:t>
      </w:r>
      <w:r>
        <w:rPr>
          <w:rFonts w:ascii="Times New Roman" w:hAnsi="Times New Roman" w:cs="Times New Roman"/>
          <w:b/>
          <w:bCs/>
          <w:color w:val="4472C4" w:themeColor="accent5"/>
          <w:lang w:val="en-US"/>
        </w:rPr>
        <w:tab/>
      </w:r>
      <w:r w:rsidR="00460B46" w:rsidRPr="00460B46">
        <w:rPr>
          <w:rFonts w:ascii="Times New Roman" w:hAnsi="Times New Roman" w:cs="Times New Roman"/>
          <w:color w:val="4472C4" w:themeColor="accent5"/>
          <w:lang w:val="en-US"/>
        </w:rPr>
        <w:t>Big Instrument for Nuclear Data Analysis (</w:t>
      </w:r>
      <w:r w:rsidR="00460B46" w:rsidRPr="00460B46">
        <w:rPr>
          <w:rFonts w:ascii="Times New Roman" w:hAnsi="Times New Roman" w:cs="Times New Roman"/>
          <w:b/>
          <w:bCs/>
          <w:color w:val="4472C4" w:themeColor="accent5"/>
          <w:lang w:val="en-US"/>
        </w:rPr>
        <w:t>BINA</w:t>
      </w:r>
      <w:r w:rsidR="00460B46" w:rsidRPr="00460B46">
        <w:rPr>
          <w:rFonts w:ascii="Times New Roman" w:hAnsi="Times New Roman" w:cs="Times New Roman"/>
          <w:color w:val="4472C4" w:themeColor="accent5"/>
          <w:lang w:val="en-US"/>
        </w:rPr>
        <w:t xml:space="preserve">), detection setup, which includes a liquid-target assembly, multiwire chamber and scintillation hodoscope. BINA will be used for in-beam experimental investigations of the dynamics of few-nucleon systems: systematic studies of three-nucleon force (3NF), Coulomb and relativistic effects, as well as their mutual interplay in the proton-deuteron system. </w:t>
      </w:r>
    </w:p>
    <w:p w14:paraId="67513292" w14:textId="610A040D" w:rsidR="00460B46" w:rsidRDefault="00460B46" w:rsidP="00460B46">
      <w:pPr>
        <w:spacing w:after="0" w:line="240" w:lineRule="auto"/>
        <w:ind w:left="717" w:hanging="360"/>
        <w:rPr>
          <w:rFonts w:ascii="Times New Roman" w:hAnsi="Times New Roman" w:cs="Times New Roman"/>
          <w:color w:val="4472C4" w:themeColor="accent5"/>
          <w:lang w:val="en-US"/>
        </w:rPr>
      </w:pPr>
      <w:r>
        <w:rPr>
          <w:rFonts w:ascii="Times New Roman" w:hAnsi="Times New Roman" w:cs="Times New Roman"/>
          <w:b/>
          <w:bCs/>
          <w:color w:val="4472C4" w:themeColor="accent5"/>
          <w:lang w:val="en-US"/>
        </w:rPr>
        <w:t>-</w:t>
      </w:r>
      <w:r>
        <w:rPr>
          <w:rFonts w:ascii="Times New Roman" w:hAnsi="Times New Roman" w:cs="Times New Roman"/>
          <w:color w:val="4472C4" w:themeColor="accent5"/>
          <w:lang w:val="en-US"/>
        </w:rPr>
        <w:tab/>
        <w:t>h</w:t>
      </w:r>
      <w:r w:rsidRPr="00460B46">
        <w:rPr>
          <w:rFonts w:ascii="Times New Roman" w:hAnsi="Times New Roman" w:cs="Times New Roman"/>
          <w:color w:val="4472C4" w:themeColor="accent5"/>
          <w:lang w:val="en-US"/>
        </w:rPr>
        <w:t xml:space="preserve">igh-energy gamma-ray detection system consisting of an array of eight large volume BaF2 detectors (HECTOR array), which can be complemented with few clusters of the PARIS </w:t>
      </w:r>
      <w:bookmarkStart w:id="0" w:name="_GoBack"/>
      <w:r w:rsidRPr="00460B46">
        <w:rPr>
          <w:rFonts w:ascii="Times New Roman" w:hAnsi="Times New Roman" w:cs="Times New Roman"/>
          <w:color w:val="4472C4" w:themeColor="accent5"/>
          <w:lang w:val="en-US"/>
        </w:rPr>
        <w:lastRenderedPageBreak/>
        <w:t xml:space="preserve">array. It will be used for studies of the structure of high-lying resonance states by inelastic </w:t>
      </w:r>
      <w:bookmarkEnd w:id="0"/>
      <w:r w:rsidRPr="00460B46">
        <w:rPr>
          <w:rFonts w:ascii="Times New Roman" w:hAnsi="Times New Roman" w:cs="Times New Roman"/>
          <w:color w:val="4472C4" w:themeColor="accent5"/>
          <w:lang w:val="en-US"/>
        </w:rPr>
        <w:t xml:space="preserve">scattering or fusion-evaporation reactions induced by protons. </w:t>
      </w:r>
    </w:p>
    <w:p w14:paraId="4DE13639" w14:textId="0E42A650" w:rsidR="00460B46" w:rsidRDefault="00460B46" w:rsidP="00460B46">
      <w:pPr>
        <w:spacing w:after="0" w:line="240" w:lineRule="auto"/>
        <w:ind w:firstLine="357"/>
        <w:rPr>
          <w:rFonts w:ascii="Times New Roman" w:hAnsi="Times New Roman" w:cs="Times New Roman"/>
          <w:color w:val="4472C4" w:themeColor="accent5"/>
          <w:lang w:val="en-US"/>
        </w:rPr>
      </w:pPr>
      <w:r>
        <w:rPr>
          <w:rFonts w:ascii="Times New Roman" w:hAnsi="Times New Roman" w:cs="Times New Roman"/>
          <w:b/>
          <w:bCs/>
          <w:color w:val="4472C4" w:themeColor="accent5"/>
          <w:lang w:val="en-US"/>
        </w:rPr>
        <w:t>-</w:t>
      </w:r>
      <w:r>
        <w:rPr>
          <w:rFonts w:ascii="Times New Roman" w:hAnsi="Times New Roman" w:cs="Times New Roman"/>
          <w:color w:val="4472C4" w:themeColor="accent5"/>
          <w:lang w:val="en-US"/>
        </w:rPr>
        <w:tab/>
        <w:t>h</w:t>
      </w:r>
      <w:r w:rsidRPr="00460B46">
        <w:rPr>
          <w:rFonts w:ascii="Times New Roman" w:hAnsi="Times New Roman" w:cs="Times New Roman"/>
          <w:color w:val="4472C4" w:themeColor="accent5"/>
          <w:lang w:val="en-US"/>
        </w:rPr>
        <w:t>igh-energy gamma-ray detection system</w:t>
      </w:r>
      <w:r>
        <w:rPr>
          <w:rFonts w:ascii="Times New Roman" w:hAnsi="Times New Roman" w:cs="Times New Roman"/>
          <w:color w:val="4472C4" w:themeColor="accent5"/>
          <w:lang w:val="en-US"/>
        </w:rPr>
        <w:t xml:space="preserve"> </w:t>
      </w:r>
      <w:r w:rsidRPr="00460B46">
        <w:rPr>
          <w:rFonts w:ascii="Times New Roman" w:hAnsi="Times New Roman" w:cs="Times New Roman"/>
          <w:color w:val="4472C4" w:themeColor="accent5"/>
          <w:lang w:val="en-US"/>
        </w:rPr>
        <w:t>PARIS (LaBr3/CeBr3+NaI phoswiches)</w:t>
      </w:r>
    </w:p>
    <w:p w14:paraId="3C19C4F8" w14:textId="55A10D50" w:rsidR="00460B46" w:rsidRPr="00460B46" w:rsidRDefault="00460B46" w:rsidP="00460B46">
      <w:pPr>
        <w:spacing w:after="0" w:line="240" w:lineRule="auto"/>
        <w:ind w:left="717" w:hanging="360"/>
        <w:rPr>
          <w:rFonts w:ascii="Times New Roman" w:hAnsi="Times New Roman" w:cs="Times New Roman"/>
          <w:color w:val="4472C4" w:themeColor="accent5"/>
          <w:lang w:val="en-US"/>
        </w:rPr>
      </w:pPr>
      <w:r>
        <w:rPr>
          <w:rFonts w:ascii="Times New Roman" w:hAnsi="Times New Roman" w:cs="Times New Roman"/>
          <w:color w:val="4472C4" w:themeColor="accent5"/>
          <w:lang w:val="en-US"/>
        </w:rPr>
        <w:t>-</w:t>
      </w:r>
      <w:r>
        <w:rPr>
          <w:rFonts w:ascii="Times New Roman" w:hAnsi="Times New Roman" w:cs="Times New Roman"/>
          <w:color w:val="4472C4" w:themeColor="accent5"/>
          <w:lang w:val="en-US"/>
        </w:rPr>
        <w:tab/>
      </w:r>
      <w:r w:rsidRPr="00460B46">
        <w:rPr>
          <w:rFonts w:ascii="Times New Roman" w:hAnsi="Times New Roman" w:cs="Times New Roman"/>
          <w:color w:val="4472C4" w:themeColor="accent5"/>
          <w:lang w:val="en-US"/>
        </w:rPr>
        <w:t>KRATTA (Kraków Triple Telescope Array): 35 multi-module telescopes for charged-particle detection;</w:t>
      </w:r>
    </w:p>
    <w:p w14:paraId="2DE5A8CE" w14:textId="2B88399A" w:rsidR="00867403" w:rsidRPr="00867403" w:rsidRDefault="00867403" w:rsidP="00460B46">
      <w:pPr>
        <w:spacing w:after="0" w:line="240" w:lineRule="auto"/>
        <w:ind w:firstLine="357"/>
        <w:rPr>
          <w:rFonts w:ascii="Times New Roman" w:hAnsi="Times New Roman" w:cs="Times New Roman"/>
          <w:color w:val="4472C4" w:themeColor="accent5"/>
          <w:lang w:val="en-US"/>
        </w:rPr>
      </w:pPr>
      <w:r w:rsidRPr="00460B46">
        <w:rPr>
          <w:rFonts w:ascii="Times New Roman" w:hAnsi="Times New Roman" w:cs="Times New Roman"/>
          <w:color w:val="4472C4" w:themeColor="accent5"/>
          <w:lang w:val="en-US"/>
        </w:rPr>
        <w:t>-</w:t>
      </w:r>
      <w:r w:rsidRPr="00460B46">
        <w:rPr>
          <w:rFonts w:ascii="Times New Roman" w:hAnsi="Times New Roman" w:cs="Times New Roman"/>
          <w:color w:val="4472C4" w:themeColor="accent5"/>
          <w:lang w:val="en-US"/>
        </w:rPr>
        <w:tab/>
      </w:r>
      <w:r w:rsidR="00460B46">
        <w:rPr>
          <w:rFonts w:ascii="Times New Roman" w:hAnsi="Times New Roman" w:cs="Times New Roman"/>
          <w:color w:val="4472C4" w:themeColor="accent5"/>
          <w:lang w:val="en-US"/>
        </w:rPr>
        <w:t>setup for i</w:t>
      </w:r>
      <w:r w:rsidRPr="00460B46">
        <w:rPr>
          <w:rFonts w:ascii="Times New Roman" w:hAnsi="Times New Roman" w:cs="Times New Roman"/>
          <w:color w:val="4472C4" w:themeColor="accent5"/>
          <w:lang w:val="en-US"/>
        </w:rPr>
        <w:t>nvestigation of gamma emission in experimental modelling of hadron therapy</w:t>
      </w:r>
    </w:p>
    <w:p w14:paraId="412EC148" w14:textId="77777777" w:rsidR="00867403" w:rsidRPr="00867403" w:rsidRDefault="00867403" w:rsidP="00460B46">
      <w:pPr>
        <w:pStyle w:val="Akapitzlist"/>
        <w:numPr>
          <w:ilvl w:val="0"/>
          <w:numId w:val="1"/>
        </w:numPr>
        <w:spacing w:after="0" w:line="240" w:lineRule="auto"/>
        <w:rPr>
          <w:rFonts w:ascii="Times New Roman" w:hAnsi="Times New Roman" w:cs="Times New Roman"/>
          <w:color w:val="4472C4" w:themeColor="accent5"/>
          <w:lang w:val="pl-PL"/>
        </w:rPr>
      </w:pPr>
      <w:proofErr w:type="spellStart"/>
      <w:r w:rsidRPr="00867403">
        <w:rPr>
          <w:rFonts w:ascii="Times New Roman" w:hAnsi="Times New Roman" w:cs="Times New Roman"/>
          <w:color w:val="4472C4" w:themeColor="accent5"/>
          <w:lang w:val="pl-PL"/>
        </w:rPr>
        <w:t>large</w:t>
      </w:r>
      <w:proofErr w:type="spellEnd"/>
      <w:r w:rsidRPr="00867403">
        <w:rPr>
          <w:rFonts w:ascii="Times New Roman" w:hAnsi="Times New Roman" w:cs="Times New Roman"/>
          <w:color w:val="4472C4" w:themeColor="accent5"/>
          <w:lang w:val="pl-PL"/>
        </w:rPr>
        <w:t xml:space="preserve"> </w:t>
      </w:r>
      <w:proofErr w:type="spellStart"/>
      <w:r w:rsidRPr="00867403">
        <w:rPr>
          <w:rFonts w:ascii="Times New Roman" w:hAnsi="Times New Roman" w:cs="Times New Roman"/>
          <w:color w:val="4472C4" w:themeColor="accent5"/>
          <w:lang w:val="pl-PL"/>
        </w:rPr>
        <w:t>reaction</w:t>
      </w:r>
      <w:proofErr w:type="spellEnd"/>
      <w:r w:rsidRPr="00867403">
        <w:rPr>
          <w:rFonts w:ascii="Times New Roman" w:hAnsi="Times New Roman" w:cs="Times New Roman"/>
          <w:color w:val="4472C4" w:themeColor="accent5"/>
          <w:lang w:val="pl-PL"/>
        </w:rPr>
        <w:t xml:space="preserve"> </w:t>
      </w:r>
      <w:proofErr w:type="spellStart"/>
      <w:r w:rsidRPr="00867403">
        <w:rPr>
          <w:rFonts w:ascii="Times New Roman" w:hAnsi="Times New Roman" w:cs="Times New Roman"/>
          <w:color w:val="4472C4" w:themeColor="accent5"/>
          <w:lang w:val="pl-PL"/>
        </w:rPr>
        <w:t>chamber</w:t>
      </w:r>
      <w:proofErr w:type="spellEnd"/>
    </w:p>
    <w:p w14:paraId="39B9CA49" w14:textId="77777777" w:rsidR="00867403" w:rsidRPr="00867403" w:rsidRDefault="00867403" w:rsidP="00460B46">
      <w:pPr>
        <w:pStyle w:val="Akapitzlist"/>
        <w:numPr>
          <w:ilvl w:val="0"/>
          <w:numId w:val="1"/>
        </w:numPr>
        <w:spacing w:after="0" w:line="240" w:lineRule="auto"/>
        <w:rPr>
          <w:rFonts w:ascii="Times New Roman" w:hAnsi="Times New Roman" w:cs="Times New Roman"/>
          <w:color w:val="4472C4" w:themeColor="accent5"/>
          <w:lang w:val="pl-PL"/>
        </w:rPr>
      </w:pPr>
      <w:proofErr w:type="spellStart"/>
      <w:r w:rsidRPr="00867403">
        <w:rPr>
          <w:rFonts w:ascii="Times New Roman" w:hAnsi="Times New Roman" w:cs="Times New Roman"/>
          <w:color w:val="4472C4" w:themeColor="accent5"/>
          <w:lang w:val="pl-PL"/>
        </w:rPr>
        <w:t>large</w:t>
      </w:r>
      <w:proofErr w:type="spellEnd"/>
      <w:r w:rsidRPr="00867403">
        <w:rPr>
          <w:rFonts w:ascii="Times New Roman" w:hAnsi="Times New Roman" w:cs="Times New Roman"/>
          <w:color w:val="4472C4" w:themeColor="accent5"/>
          <w:lang w:val="pl-PL"/>
        </w:rPr>
        <w:t xml:space="preserve"> </w:t>
      </w:r>
      <w:proofErr w:type="spellStart"/>
      <w:r w:rsidRPr="00867403">
        <w:rPr>
          <w:rFonts w:ascii="Times New Roman" w:hAnsi="Times New Roman" w:cs="Times New Roman"/>
          <w:color w:val="4472C4" w:themeColor="accent5"/>
          <w:lang w:val="pl-PL"/>
        </w:rPr>
        <w:t>volume</w:t>
      </w:r>
      <w:proofErr w:type="spellEnd"/>
      <w:r w:rsidRPr="00867403">
        <w:rPr>
          <w:rFonts w:ascii="Times New Roman" w:hAnsi="Times New Roman" w:cs="Times New Roman"/>
          <w:color w:val="4472C4" w:themeColor="accent5"/>
          <w:lang w:val="pl-PL"/>
        </w:rPr>
        <w:t xml:space="preserve"> LaBr</w:t>
      </w:r>
      <w:r w:rsidRPr="00867403">
        <w:rPr>
          <w:rFonts w:ascii="Times New Roman" w:hAnsi="Times New Roman" w:cs="Times New Roman"/>
          <w:color w:val="4472C4" w:themeColor="accent5"/>
          <w:vertAlign w:val="subscript"/>
          <w:lang w:val="pl-PL"/>
        </w:rPr>
        <w:t>3</w:t>
      </w:r>
      <w:r w:rsidRPr="00867403">
        <w:rPr>
          <w:rFonts w:ascii="Times New Roman" w:hAnsi="Times New Roman" w:cs="Times New Roman"/>
          <w:color w:val="4472C4" w:themeColor="accent5"/>
          <w:lang w:val="pl-PL"/>
        </w:rPr>
        <w:t xml:space="preserve"> </w:t>
      </w:r>
      <w:proofErr w:type="spellStart"/>
      <w:r w:rsidRPr="00867403">
        <w:rPr>
          <w:rFonts w:ascii="Times New Roman" w:hAnsi="Times New Roman" w:cs="Times New Roman"/>
          <w:color w:val="4472C4" w:themeColor="accent5"/>
          <w:lang w:val="pl-PL"/>
        </w:rPr>
        <w:t>detectors</w:t>
      </w:r>
      <w:proofErr w:type="spellEnd"/>
    </w:p>
    <w:p w14:paraId="1648331F" w14:textId="0BA5E18E" w:rsidR="00AD0EB7" w:rsidRPr="00867403" w:rsidRDefault="00867403" w:rsidP="00460B46">
      <w:pPr>
        <w:pStyle w:val="Akapitzlist"/>
        <w:numPr>
          <w:ilvl w:val="0"/>
          <w:numId w:val="1"/>
        </w:numPr>
        <w:spacing w:after="0" w:line="240" w:lineRule="auto"/>
        <w:rPr>
          <w:rFonts w:ascii="Times New Roman" w:hAnsi="Times New Roman" w:cs="Times New Roman"/>
          <w:color w:val="4472C4" w:themeColor="accent5"/>
          <w:lang w:val="pl-PL"/>
        </w:rPr>
      </w:pPr>
      <w:r w:rsidRPr="00867403">
        <w:rPr>
          <w:rFonts w:ascii="Times New Roman" w:hAnsi="Times New Roman" w:cs="Times New Roman"/>
          <w:color w:val="4472C4" w:themeColor="accent5"/>
          <w:lang w:val="pl-PL"/>
        </w:rPr>
        <w:t xml:space="preserve">DSSS </w:t>
      </w:r>
      <w:proofErr w:type="spellStart"/>
      <w:r w:rsidRPr="00867403">
        <w:rPr>
          <w:rFonts w:ascii="Times New Roman" w:hAnsi="Times New Roman" w:cs="Times New Roman"/>
          <w:color w:val="4472C4" w:themeColor="accent5"/>
          <w:lang w:val="pl-PL"/>
        </w:rPr>
        <w:t>detectors</w:t>
      </w:r>
      <w:proofErr w:type="spellEnd"/>
    </w:p>
    <w:p w14:paraId="348E948B" w14:textId="77777777" w:rsidR="00221880" w:rsidRDefault="00221880" w:rsidP="00221880">
      <w:pPr>
        <w:autoSpaceDE w:val="0"/>
        <w:autoSpaceDN w:val="0"/>
        <w:adjustRightInd w:val="0"/>
        <w:spacing w:after="0" w:line="240" w:lineRule="auto"/>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Services currently offered by the infrastructure:</w:t>
      </w:r>
      <w:r w:rsidRPr="00221880">
        <w:rPr>
          <w:rFonts w:ascii="Times New Roman" w:eastAsia="Times New Roman" w:hAnsi="Times New Roman" w:cs="Times New Roman"/>
          <w:i/>
          <w:iCs/>
          <w:lang w:val="en-US"/>
        </w:rPr>
        <w:t xml:space="preserve"> Describe the services offered by the infrastructure and its research environment, and demonstrate how they will enable scientists to carry out high-quality research, giving examples of relevant scientific achievements it enabled. Demonstrate that there is a widespread interest from users in other countries to conduct research at the infrastructure (or make otherwise use of its services), e.g. by indicating the number of international users currently using the facility per year.</w:t>
      </w:r>
    </w:p>
    <w:p w14:paraId="60F8F1BC" w14:textId="78A5B670" w:rsidR="00F14C0F" w:rsidRDefault="00F14C0F" w:rsidP="0016725E">
      <w:pPr>
        <w:pStyle w:val="Tekstpodstawowy"/>
        <w:spacing w:before="120"/>
        <w:rPr>
          <w:rFonts w:ascii="Times New Roman" w:hAnsi="Times New Roman"/>
          <w:color w:val="ED7D31" w:themeColor="accent2"/>
          <w:sz w:val="22"/>
          <w:szCs w:val="22"/>
        </w:rPr>
      </w:pPr>
      <w:r w:rsidRPr="0016725E">
        <w:rPr>
          <w:rFonts w:ascii="Times New Roman" w:hAnsi="Times New Roman"/>
          <w:color w:val="ED7D31" w:themeColor="accent2"/>
          <w:sz w:val="22"/>
          <w:szCs w:val="22"/>
        </w:rPr>
        <w:t>SLCJ has at its disposal: mechanical and electronics workshops, target laboratory, detector laboratory, library, two conference rooms, hostel for experimental teams (9 rooms), 15 scientists and 38 technicians ready to help an external user.</w:t>
      </w:r>
    </w:p>
    <w:p w14:paraId="495EA006" w14:textId="4F1AF110" w:rsidR="00F14C0F" w:rsidRPr="0016725E" w:rsidRDefault="00F14C0F" w:rsidP="00F14C0F">
      <w:pPr>
        <w:pStyle w:val="Tekstpodstawowy"/>
        <w:spacing w:before="120"/>
        <w:rPr>
          <w:rFonts w:ascii="Times New Roman" w:hAnsi="Times New Roman"/>
          <w:color w:val="4472C4" w:themeColor="accent5"/>
          <w:sz w:val="22"/>
          <w:szCs w:val="22"/>
        </w:rPr>
      </w:pPr>
      <w:r w:rsidRPr="0016725E">
        <w:rPr>
          <w:rFonts w:ascii="Times New Roman" w:hAnsi="Times New Roman"/>
          <w:color w:val="4472C4" w:themeColor="accent5"/>
          <w:sz w:val="22"/>
          <w:szCs w:val="22"/>
        </w:rPr>
        <w:t>CCB Krakow offer</w:t>
      </w:r>
      <w:r w:rsidR="0016725E" w:rsidRPr="0016725E">
        <w:rPr>
          <w:rFonts w:ascii="Times New Roman" w:hAnsi="Times New Roman"/>
          <w:color w:val="4472C4" w:themeColor="accent5"/>
          <w:sz w:val="22"/>
          <w:szCs w:val="22"/>
        </w:rPr>
        <w:t>s</w:t>
      </w:r>
      <w:r w:rsidRPr="0016725E">
        <w:rPr>
          <w:rFonts w:ascii="Times New Roman" w:hAnsi="Times New Roman"/>
          <w:color w:val="4472C4" w:themeColor="accent5"/>
          <w:sz w:val="22"/>
          <w:szCs w:val="22"/>
        </w:rPr>
        <w:t xml:space="preserve"> library and a conference room. CCB has at its disposal mechanical and electronics workshops. In addition 7 scientists and 6 technicians can help the external users.</w:t>
      </w:r>
    </w:p>
    <w:p w14:paraId="293DBB1C" w14:textId="77777777" w:rsidR="00EA7C25" w:rsidRDefault="00EA7C25" w:rsidP="00EA7C25">
      <w:pPr>
        <w:autoSpaceDE w:val="0"/>
        <w:autoSpaceDN w:val="0"/>
        <w:adjustRightInd w:val="0"/>
        <w:spacing w:after="0" w:line="240" w:lineRule="auto"/>
        <w:jc w:val="both"/>
        <w:rPr>
          <w:rFonts w:ascii="Times New Roman" w:hAnsi="Times New Roman" w:cs="Times New Roman"/>
          <w:b/>
          <w:bCs/>
          <w:sz w:val="24"/>
          <w:szCs w:val="24"/>
        </w:rPr>
      </w:pPr>
    </w:p>
    <w:p w14:paraId="403FDACB" w14:textId="31A515C0"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57B8630B"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Modality of access under this proposal:</w:t>
      </w:r>
      <w:r w:rsidRPr="00221880">
        <w:rPr>
          <w:rFonts w:ascii="Times New Roman" w:eastAsia="Times New Roman" w:hAnsi="Times New Roman" w:cs="Times New Roman"/>
          <w:i/>
          <w:lang w:val="en-US"/>
        </w:rPr>
        <w:t xml:space="preserve"> Outline how a user, or user group, will be given access to the infrastructure or to its services (e.g. </w:t>
      </w:r>
      <w:r w:rsidRPr="00221880">
        <w:rPr>
          <w:rFonts w:ascii="Times New Roman" w:eastAsia="Times New Roman" w:hAnsi="Times New Roman" w:cs="Times New Roman"/>
          <w:b/>
          <w:i/>
          <w:lang w:val="en-US"/>
        </w:rPr>
        <w:t>trans-national/virtual</w:t>
      </w:r>
      <w:r w:rsidRPr="00221880">
        <w:rPr>
          <w:rFonts w:ascii="Times New Roman" w:eastAsia="Times New Roman" w:hAnsi="Times New Roman" w:cs="Times New Roman"/>
          <w:i/>
          <w:lang w:val="en-US"/>
        </w:rPr>
        <w:t>, type of equipment/service used, expected output/deliverables, etc.).</w:t>
      </w:r>
    </w:p>
    <w:p w14:paraId="57BC9481"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trans-national access</w:t>
      </w:r>
      <w:r w:rsidRPr="00221880">
        <w:rPr>
          <w:rFonts w:ascii="Times New Roman" w:eastAsia="Times New Roman" w:hAnsi="Times New Roman" w:cs="Times New Roman"/>
          <w:i/>
          <w:lang w:val="en-US"/>
        </w:rPr>
        <w:t xml:space="preserve"> indicate the typical execution and duration of work (if access is provided ‘in person’, thus not remotely, indicated the estimated number of days spent at the infrastructure), and, where relevant, how the users will be integrated into the scheduling of the infrastructure and the degree of independence they will experience with respect to the normal research activity of the infrastructure.</w:t>
      </w:r>
      <w:r w:rsidRPr="00221880">
        <w:rPr>
          <w:rFonts w:ascii="Times New Roman" w:eastAsia="Times New Roman" w:hAnsi="Times New Roman" w:cs="Times New Roman"/>
          <w:lang w:val="en-US"/>
        </w:rPr>
        <w:t xml:space="preserve"> </w:t>
      </w:r>
      <w:r w:rsidRPr="00221880">
        <w:rPr>
          <w:rFonts w:ascii="Times New Roman" w:eastAsia="Times New Roman" w:hAnsi="Times New Roman" w:cs="Times New Roman"/>
          <w:i/>
          <w:lang w:val="en-US"/>
        </w:rPr>
        <w:t xml:space="preserve">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(e.g. preparatory work, specific training courses) in one unit. This is essential for monitoring the access provided under this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as</w:t>
      </w:r>
      <w:r w:rsidRPr="00221880">
        <w:rPr>
          <w:rFonts w:ascii="Times New Roman" w:eastAsia="Times New Roman" w:hAnsi="Times New Roman" w:cs="Times New Roman"/>
          <w:b/>
          <w:i/>
          <w:lang w:val="en-US"/>
        </w:rPr>
        <w:t xml:space="preserve"> 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789A0E33"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virtual access</w:t>
      </w:r>
      <w:r w:rsidRPr="00221880">
        <w:rPr>
          <w:rFonts w:ascii="Times New Roman" w:eastAsia="Times New Roman" w:hAnsi="Times New Roman" w:cs="Times New Roman"/>
          <w:i/>
          <w:lang w:val="en-US"/>
        </w:rPr>
        <w:t xml:space="preserve">, 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in one unit. This is essential for monitoring the access provided under the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xml:space="preserve">, as </w:t>
      </w:r>
      <w:r w:rsidRPr="00221880">
        <w:rPr>
          <w:rFonts w:ascii="Times New Roman" w:eastAsia="Times New Roman" w:hAnsi="Times New Roman" w:cs="Times New Roman"/>
          <w:b/>
          <w:i/>
          <w:lang w:val="en-US"/>
        </w:rPr>
        <w:t>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7A581C98" w14:textId="7B30FE8F" w:rsidR="0016725E" w:rsidRPr="0016725E" w:rsidRDefault="0016725E" w:rsidP="0016725E">
      <w:pPr>
        <w:pStyle w:val="Tekstpodstawowy"/>
        <w:spacing w:before="120"/>
        <w:rPr>
          <w:rFonts w:ascii="Times New Roman" w:hAnsi="Times New Roman"/>
          <w:color w:val="ED7D31" w:themeColor="accent2"/>
          <w:sz w:val="22"/>
          <w:szCs w:val="22"/>
        </w:rPr>
      </w:pPr>
      <w:r w:rsidRPr="0016725E">
        <w:rPr>
          <w:rFonts w:ascii="Times New Roman" w:hAnsi="Times New Roman"/>
          <w:color w:val="ED7D31" w:themeColor="accent2"/>
          <w:sz w:val="22"/>
          <w:szCs w:val="22"/>
        </w:rPr>
        <w:t>SLCJ Warsaw provides for TNA access about 1200 hours of beam time per 4 years, which corresponds to about 10 experiments in the areas of nuclear physics, biology, nano-dosimetry and medical applications, including isotope production.</w:t>
      </w:r>
      <w:r w:rsidR="003F670F">
        <w:rPr>
          <w:rFonts w:ascii="Times New Roman" w:hAnsi="Times New Roman"/>
          <w:color w:val="ED7D31" w:themeColor="accent2"/>
          <w:sz w:val="22"/>
          <w:szCs w:val="22"/>
        </w:rPr>
        <w:t xml:space="preserve"> The </w:t>
      </w:r>
      <w:r w:rsidR="003F670F" w:rsidRPr="003F670F">
        <w:rPr>
          <w:rFonts w:ascii="Times New Roman" w:hAnsi="Times New Roman"/>
          <w:color w:val="ED7D31" w:themeColor="accent2"/>
          <w:sz w:val="22"/>
          <w:szCs w:val="22"/>
        </w:rPr>
        <w:t xml:space="preserve">access costs </w:t>
      </w:r>
      <w:r w:rsidR="003F670F">
        <w:rPr>
          <w:rFonts w:ascii="Times New Roman" w:hAnsi="Times New Roman"/>
          <w:color w:val="ED7D31" w:themeColor="accent2"/>
          <w:sz w:val="22"/>
          <w:szCs w:val="22"/>
        </w:rPr>
        <w:t xml:space="preserve">will be calculated </w:t>
      </w:r>
      <w:r w:rsidR="003F670F" w:rsidRPr="003F670F">
        <w:rPr>
          <w:rFonts w:ascii="Times New Roman" w:hAnsi="Times New Roman"/>
          <w:color w:val="ED7D31" w:themeColor="accent2"/>
          <w:sz w:val="22"/>
          <w:szCs w:val="22"/>
        </w:rPr>
        <w:t>on the basis of unit cost</w:t>
      </w:r>
      <w:r w:rsidR="003F670F">
        <w:rPr>
          <w:rFonts w:ascii="Times New Roman" w:hAnsi="Times New Roman"/>
          <w:color w:val="ED7D31" w:themeColor="accent2"/>
          <w:sz w:val="22"/>
          <w:szCs w:val="22"/>
        </w:rPr>
        <w:t>.</w:t>
      </w:r>
    </w:p>
    <w:p w14:paraId="491FA59A" w14:textId="7A790A10" w:rsidR="00221880" w:rsidRPr="003F670F" w:rsidRDefault="0016725E" w:rsidP="003F670F">
      <w:pPr>
        <w:pStyle w:val="Tekstpodstawowy"/>
        <w:spacing w:before="120"/>
        <w:rPr>
          <w:rFonts w:ascii="Times New Roman" w:hAnsi="Times New Roman"/>
          <w:color w:val="4472C4" w:themeColor="accent5"/>
          <w:sz w:val="22"/>
          <w:szCs w:val="22"/>
        </w:rPr>
      </w:pPr>
      <w:r w:rsidRPr="0016725E">
        <w:rPr>
          <w:rFonts w:ascii="Times New Roman" w:hAnsi="Times New Roman"/>
          <w:color w:val="4472C4" w:themeColor="accent5"/>
          <w:sz w:val="22"/>
          <w:szCs w:val="22"/>
        </w:rPr>
        <w:t xml:space="preserve">Since CCB Krakow is also a medical facility, where proton therapy of tumours with the two gantries has a priority, the nuclear physics experiments will have to be conducted during the time free of patients’ treatment. This will be mainly at nights and during the weekends. Altogether 600 hours of beam time will be provided at CCB per 4 years within TNA, which corresponds to </w:t>
      </w:r>
      <w:r>
        <w:rPr>
          <w:rFonts w:ascii="Times New Roman" w:hAnsi="Times New Roman"/>
          <w:color w:val="4472C4" w:themeColor="accent5"/>
          <w:sz w:val="22"/>
          <w:szCs w:val="22"/>
        </w:rPr>
        <w:t xml:space="preserve">6 </w:t>
      </w:r>
      <w:r w:rsidRPr="0016725E">
        <w:rPr>
          <w:rFonts w:ascii="Times New Roman" w:hAnsi="Times New Roman"/>
          <w:color w:val="4472C4" w:themeColor="accent5"/>
          <w:sz w:val="22"/>
          <w:szCs w:val="22"/>
        </w:rPr>
        <w:t xml:space="preserve">experiments. </w:t>
      </w:r>
      <w:r w:rsidR="003F670F" w:rsidRPr="003F670F">
        <w:rPr>
          <w:rFonts w:ascii="Times New Roman" w:hAnsi="Times New Roman"/>
          <w:color w:val="4472C4" w:themeColor="accent5"/>
          <w:sz w:val="22"/>
          <w:szCs w:val="22"/>
        </w:rPr>
        <w:t>The access costs will be calculated on the basis of unit cost.</w:t>
      </w:r>
    </w:p>
    <w:p w14:paraId="5E20CE26"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Support offered under this proposal:</w:t>
      </w:r>
      <w:r w:rsidRPr="00221880">
        <w:rPr>
          <w:rFonts w:ascii="Times New Roman" w:eastAsia="Times New Roman" w:hAnsi="Times New Roman" w:cs="Times New Roman"/>
          <w:i/>
          <w:lang w:val="en-US"/>
        </w:rPr>
        <w:t xml:space="preserve"> Describe the scientific, technical and, for trans-national access, logistic support that would be offered to the users. Where relevant, </w:t>
      </w:r>
      <w:r w:rsidRPr="00221880">
        <w:rPr>
          <w:rFonts w:ascii="Times New Roman" w:eastAsia="Times New Roman" w:hAnsi="Times New Roman" w:cs="Times New Roman"/>
          <w:i/>
        </w:rPr>
        <w:t>emphasise</w:t>
      </w:r>
      <w:r w:rsidRPr="00221880">
        <w:rPr>
          <w:rFonts w:ascii="Times New Roman" w:eastAsia="Times New Roman" w:hAnsi="Times New Roman" w:cs="Times New Roman"/>
          <w:i/>
          <w:lang w:val="en-US"/>
        </w:rPr>
        <w:t xml:space="preserve"> the quality of the scientific environment in which the users will be working and explain how this might stimulate their research. Explain to what extent such support is already routinely provided to external users.</w:t>
      </w:r>
    </w:p>
    <w:p w14:paraId="40F7E61E" w14:textId="0F30D242" w:rsidR="003F670F" w:rsidRDefault="003F670F" w:rsidP="00221880">
      <w:pPr>
        <w:widowControl w:val="0"/>
        <w:spacing w:before="60" w:after="60" w:line="240" w:lineRule="auto"/>
        <w:jc w:val="both"/>
        <w:rPr>
          <w:rFonts w:ascii="Times New Roman" w:hAnsi="Times New Roman"/>
        </w:rPr>
      </w:pPr>
      <w:r w:rsidRPr="001C2296">
        <w:rPr>
          <w:rFonts w:ascii="Times New Roman" w:hAnsi="Times New Roman"/>
        </w:rPr>
        <w:lastRenderedPageBreak/>
        <w:t>Technical assistance of all kinds is provided by the SLCJ and CCB technical staff. Mechanical and electronic workshops are available for the users. Both might help in manufacturing and setting up equipment for use in experiments. A target laboratory can produce targets and a detector laboratory will help with handling/repairing detectors. The beam is tuned to the user's target, after discussion with beam engineers to define the experimentalist's goals</w:t>
      </w:r>
      <w:r>
        <w:rPr>
          <w:rFonts w:ascii="Times New Roman" w:hAnsi="Times New Roman"/>
        </w:rPr>
        <w:t xml:space="preserve">. In house physicists assist and support the experimental teams in setup of experimental facilities and to perform </w:t>
      </w:r>
      <w:r w:rsidR="00377498">
        <w:rPr>
          <w:rFonts w:ascii="Times New Roman" w:hAnsi="Times New Roman"/>
        </w:rPr>
        <w:t>measurements</w:t>
      </w:r>
      <w:r>
        <w:rPr>
          <w:rFonts w:ascii="Times New Roman" w:hAnsi="Times New Roman"/>
        </w:rPr>
        <w:t xml:space="preserve">. </w:t>
      </w:r>
    </w:p>
    <w:p w14:paraId="060509F8" w14:textId="047CC0AA"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Outreach to new users:</w:t>
      </w:r>
      <w:r w:rsidRPr="00221880">
        <w:rPr>
          <w:rFonts w:ascii="Times New Roman" w:eastAsia="Times New Roman" w:hAnsi="Times New Roman" w:cs="Times New Roman"/>
          <w:i/>
          <w:lang w:val="en-US"/>
        </w:rPr>
        <w:t xml:space="preserve"> State what measures are taken to attract new potential users (e.g. web page, call for proposals, etc.), including specific user groups such as users coming from SMEs or representing new areas of research, if appropriate. Indicate why and to which extent the EU funding of this trans-national and/or virtual access activity will provide European research teams with new opportunities of access to the infrastructure. Indicate whether the number of trans-national and/or virtual users is expected to increase as a result of this proposal, and how you will monitor such an increase. If trans-national access to the infrastructure is being opened to users other than those from the host country of the infrastructure for the first time, what evidence is there that there will be sufficient demand for the access offered under this proposal?</w:t>
      </w:r>
    </w:p>
    <w:p w14:paraId="13C5E1E1" w14:textId="77777777" w:rsidR="003F670F" w:rsidRDefault="003F670F" w:rsidP="003F670F">
      <w:pPr>
        <w:pStyle w:val="Tekstpodstawowywcity"/>
        <w:spacing w:after="0"/>
        <w:ind w:left="0" w:right="203"/>
        <w:jc w:val="both"/>
        <w:rPr>
          <w:rFonts w:ascii="Times New Roman" w:hAnsi="Times New Roman"/>
        </w:rPr>
      </w:pPr>
    </w:p>
    <w:p w14:paraId="795EA072" w14:textId="134F9698" w:rsidR="003F670F" w:rsidRPr="003F670F" w:rsidRDefault="003F670F" w:rsidP="003F670F">
      <w:pPr>
        <w:pStyle w:val="Tekstpodstawowywcity"/>
        <w:spacing w:after="0"/>
        <w:ind w:left="0" w:right="203"/>
        <w:jc w:val="both"/>
        <w:rPr>
          <w:rFonts w:ascii="Times New Roman" w:hAnsi="Times New Roman"/>
          <w:color w:val="ED7D31" w:themeColor="accent2"/>
        </w:rPr>
      </w:pPr>
      <w:r>
        <w:rPr>
          <w:rFonts w:ascii="Times New Roman" w:hAnsi="Times New Roman"/>
        </w:rPr>
        <w:t>Information about NLC</w:t>
      </w:r>
      <w:r w:rsidRPr="007C6AF1">
        <w:rPr>
          <w:rFonts w:ascii="Times New Roman" w:hAnsi="Times New Roman"/>
        </w:rPr>
        <w:t xml:space="preserve"> facilities (technical and scientific information, calls for proposals, European support) is available online: </w:t>
      </w:r>
      <w:hyperlink r:id="rId6" w:history="1">
        <w:r w:rsidRPr="00FE3F2C">
          <w:rPr>
            <w:rStyle w:val="Hipercze"/>
            <w:rFonts w:ascii="Times New Roman" w:hAnsi="Times New Roman"/>
          </w:rPr>
          <w:t>www.ifj.edu.pl</w:t>
        </w:r>
      </w:hyperlink>
      <w:r>
        <w:rPr>
          <w:rFonts w:ascii="Times New Roman" w:hAnsi="Times New Roman"/>
          <w:color w:val="3366FF"/>
        </w:rPr>
        <w:t xml:space="preserve"> </w:t>
      </w:r>
      <w:r w:rsidRPr="004747AF">
        <w:rPr>
          <w:rFonts w:ascii="Times New Roman" w:hAnsi="Times New Roman"/>
        </w:rPr>
        <w:t>and</w:t>
      </w:r>
      <w:r>
        <w:rPr>
          <w:rFonts w:ascii="Times New Roman" w:hAnsi="Times New Roman"/>
          <w:color w:val="3366FF"/>
        </w:rPr>
        <w:t xml:space="preserve"> </w:t>
      </w:r>
      <w:r w:rsidRPr="003F670F">
        <w:rPr>
          <w:rFonts w:ascii="Times New Roman" w:hAnsi="Times New Roman"/>
          <w:color w:val="ED7D31" w:themeColor="accent2"/>
        </w:rPr>
        <w:t>http://slcj.uw.edu.pl/</w:t>
      </w:r>
    </w:p>
    <w:p w14:paraId="0A5C1084" w14:textId="530F0868" w:rsidR="00221880" w:rsidRPr="003F670F" w:rsidRDefault="003F670F" w:rsidP="003F670F">
      <w:pPr>
        <w:pStyle w:val="Tekstpodstawowywcity"/>
        <w:spacing w:after="0"/>
        <w:ind w:left="0" w:right="203"/>
        <w:jc w:val="both"/>
        <w:rPr>
          <w:rFonts w:ascii="Times New Roman" w:hAnsi="Times New Roman"/>
        </w:rPr>
      </w:pPr>
      <w:r w:rsidRPr="007C6AF1">
        <w:rPr>
          <w:rFonts w:ascii="Times New Roman" w:hAnsi="Times New Roman"/>
        </w:rPr>
        <w:t xml:space="preserve">All workshops and conferences organized by </w:t>
      </w:r>
      <w:r>
        <w:rPr>
          <w:rFonts w:ascii="Times New Roman" w:hAnsi="Times New Roman"/>
        </w:rPr>
        <w:t xml:space="preserve">IFJ PAN and </w:t>
      </w:r>
      <w:r w:rsidR="00377498">
        <w:rPr>
          <w:rFonts w:ascii="Times New Roman" w:hAnsi="Times New Roman"/>
        </w:rPr>
        <w:t>SLCJ</w:t>
      </w:r>
      <w:r>
        <w:rPr>
          <w:rFonts w:ascii="Times New Roman" w:hAnsi="Times New Roman"/>
        </w:rPr>
        <w:t xml:space="preserve"> Warsaw</w:t>
      </w:r>
      <w:r w:rsidRPr="007C6AF1">
        <w:rPr>
          <w:rFonts w:ascii="Times New Roman" w:hAnsi="Times New Roman"/>
        </w:rPr>
        <w:t xml:space="preserve"> are also widely advertised by email distribution, and informat</w:t>
      </w:r>
      <w:r>
        <w:rPr>
          <w:rFonts w:ascii="Times New Roman" w:hAnsi="Times New Roman"/>
        </w:rPr>
        <w:t xml:space="preserve">ion posted on the </w:t>
      </w:r>
      <w:r w:rsidRPr="007C6AF1">
        <w:rPr>
          <w:rFonts w:ascii="Times New Roman" w:hAnsi="Times New Roman"/>
        </w:rPr>
        <w:t>website.</w:t>
      </w:r>
    </w:p>
    <w:p w14:paraId="08F24BE2"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Review procedure under this proposal:</w:t>
      </w:r>
      <w:r w:rsidRPr="00221880">
        <w:rPr>
          <w:rFonts w:ascii="Times New Roman" w:eastAsia="Times New Roman" w:hAnsi="Times New Roman" w:cs="Times New Roman"/>
          <w:i/>
          <w:lang w:val="en-US"/>
        </w:rPr>
        <w:t xml:space="preserve"> For trans-national access activities, describe the peer review procedure that will be used to select users under this proposal. Outline the composition of the User Selection Panel. Demonstrate that the selection of users will follow the principles of transparency, fairness and impartiality. As the selection will be based on the evaluation of scientific merit of the applications, but with priority to new users and users coming from countries where such infrastructure is not available, indicate any additional selection rule that you would like to add.</w:t>
      </w:r>
    </w:p>
    <w:p w14:paraId="5255CBDB" w14:textId="77777777" w:rsidR="00221880" w:rsidRPr="00221880" w:rsidRDefault="00221880" w:rsidP="00221880">
      <w:pPr>
        <w:widowControl w:val="0"/>
        <w:spacing w:before="60" w:after="60" w:line="240" w:lineRule="auto"/>
        <w:jc w:val="both"/>
        <w:rPr>
          <w:rFonts w:ascii="Times New Roman" w:eastAsia="Times New Roman" w:hAnsi="Times New Roman" w:cs="Times New Roman"/>
          <w:lang w:val="en-US"/>
        </w:rPr>
      </w:pPr>
      <w:r w:rsidRPr="00221880">
        <w:rPr>
          <w:rFonts w:ascii="Times New Roman" w:eastAsia="Times New Roman" w:hAnsi="Times New Roman" w:cs="Times New Roman"/>
          <w:i/>
          <w:lang w:val="en-US"/>
        </w:rPr>
        <w:t>For virtual access activities, describe how and when the periodical assessment of the services offered to the scientific community will be carried out (e.g. by an international review panel). The corresponding assessment reports must be defined as deliverables to the EC.</w:t>
      </w:r>
    </w:p>
    <w:p w14:paraId="790F616B" w14:textId="073F56FE" w:rsidR="0016725E" w:rsidRPr="0016725E" w:rsidRDefault="0016725E" w:rsidP="0016725E">
      <w:pPr>
        <w:pStyle w:val="Tekstpodstawowy"/>
        <w:spacing w:before="120"/>
        <w:rPr>
          <w:rFonts w:ascii="Times New Roman" w:hAnsi="Times New Roman"/>
          <w:color w:val="ED7D31" w:themeColor="accent2"/>
          <w:sz w:val="22"/>
          <w:szCs w:val="22"/>
        </w:rPr>
      </w:pPr>
      <w:r w:rsidRPr="0016725E">
        <w:rPr>
          <w:rFonts w:ascii="Times New Roman" w:hAnsi="Times New Roman"/>
          <w:color w:val="ED7D31" w:themeColor="accent2"/>
          <w:sz w:val="22"/>
          <w:szCs w:val="22"/>
        </w:rPr>
        <w:t>At SLCJ, the research proposals for performing measurements are evaluated by the Programme Advisory Committee (PAC).</w:t>
      </w:r>
      <w:r w:rsidR="008670AC">
        <w:rPr>
          <w:rFonts w:ascii="Times New Roman" w:hAnsi="Times New Roman"/>
          <w:color w:val="ED7D31" w:themeColor="accent2"/>
          <w:sz w:val="22"/>
          <w:szCs w:val="22"/>
        </w:rPr>
        <w:t xml:space="preserve"> The new members will be nominated by </w:t>
      </w:r>
      <w:r w:rsidR="00334B7B">
        <w:rPr>
          <w:rFonts w:ascii="Times New Roman" w:hAnsi="Times New Roman"/>
          <w:color w:val="ED7D31" w:themeColor="accent2"/>
          <w:sz w:val="22"/>
          <w:szCs w:val="22"/>
        </w:rPr>
        <w:t>SLCJ</w:t>
      </w:r>
      <w:r w:rsidR="008670AC">
        <w:rPr>
          <w:rFonts w:ascii="Times New Roman" w:hAnsi="Times New Roman"/>
          <w:color w:val="ED7D31" w:themeColor="accent2"/>
          <w:sz w:val="22"/>
          <w:szCs w:val="22"/>
        </w:rPr>
        <w:t xml:space="preserve"> Council in September, 2021.</w:t>
      </w:r>
    </w:p>
    <w:p w14:paraId="067992E8" w14:textId="71165559" w:rsidR="00EA7C25" w:rsidRPr="003F670F" w:rsidRDefault="0016725E" w:rsidP="003F670F">
      <w:pPr>
        <w:pStyle w:val="Tekstpodstawowy"/>
        <w:spacing w:before="120"/>
        <w:rPr>
          <w:rFonts w:ascii="Times New Roman" w:hAnsi="Times New Roman"/>
          <w:color w:val="4472C4" w:themeColor="accent5"/>
          <w:sz w:val="22"/>
          <w:szCs w:val="22"/>
        </w:rPr>
      </w:pPr>
      <w:r w:rsidRPr="0016725E">
        <w:rPr>
          <w:rFonts w:ascii="Times New Roman" w:hAnsi="Times New Roman"/>
          <w:color w:val="4472C4" w:themeColor="accent5"/>
          <w:sz w:val="22"/>
          <w:szCs w:val="22"/>
        </w:rPr>
        <w:t>At CCB</w:t>
      </w:r>
      <w:r w:rsidR="008670AC">
        <w:rPr>
          <w:rFonts w:ascii="Times New Roman" w:hAnsi="Times New Roman"/>
          <w:color w:val="4472C4" w:themeColor="accent5"/>
          <w:sz w:val="22"/>
          <w:szCs w:val="22"/>
        </w:rPr>
        <w:t xml:space="preserve"> there is </w:t>
      </w:r>
      <w:r w:rsidR="008670AC" w:rsidRPr="0016725E">
        <w:rPr>
          <w:rFonts w:ascii="Times New Roman" w:hAnsi="Times New Roman"/>
          <w:color w:val="4472C4" w:themeColor="accent5"/>
          <w:sz w:val="22"/>
          <w:szCs w:val="22"/>
        </w:rPr>
        <w:t>an International Advisory Committee (IAC)</w:t>
      </w:r>
      <w:r w:rsidRPr="0016725E">
        <w:rPr>
          <w:rFonts w:ascii="Times New Roman" w:hAnsi="Times New Roman"/>
          <w:color w:val="4472C4" w:themeColor="accent5"/>
          <w:sz w:val="22"/>
          <w:szCs w:val="22"/>
        </w:rPr>
        <w:t xml:space="preserve"> to coordinate all activities related to the basic research programme. The Committee members are internationally recognised physicists: 12 from EU (including 5 from Poland), 1 from USA, and 1 from Japan. </w:t>
      </w:r>
    </w:p>
    <w:sectPr w:rsidR="00EA7C25" w:rsidRPr="003F6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460"/>
    <w:multiLevelType w:val="hybridMultilevel"/>
    <w:tmpl w:val="ED72D346"/>
    <w:lvl w:ilvl="0" w:tplc="B86EC898">
      <w:start w:val="1"/>
      <w:numFmt w:val="bullet"/>
      <w:lvlText w:val="•"/>
      <w:lvlJc w:val="left"/>
      <w:pPr>
        <w:tabs>
          <w:tab w:val="num" w:pos="720"/>
        </w:tabs>
        <w:ind w:left="720" w:hanging="360"/>
      </w:pPr>
      <w:rPr>
        <w:rFonts w:ascii="Times New Roman" w:hAnsi="Times New Roman" w:hint="default"/>
      </w:rPr>
    </w:lvl>
    <w:lvl w:ilvl="1" w:tplc="2926FF36" w:tentative="1">
      <w:start w:val="1"/>
      <w:numFmt w:val="bullet"/>
      <w:lvlText w:val="•"/>
      <w:lvlJc w:val="left"/>
      <w:pPr>
        <w:tabs>
          <w:tab w:val="num" w:pos="1440"/>
        </w:tabs>
        <w:ind w:left="1440" w:hanging="360"/>
      </w:pPr>
      <w:rPr>
        <w:rFonts w:ascii="Times New Roman" w:hAnsi="Times New Roman" w:hint="default"/>
      </w:rPr>
    </w:lvl>
    <w:lvl w:ilvl="2" w:tplc="4036C876" w:tentative="1">
      <w:start w:val="1"/>
      <w:numFmt w:val="bullet"/>
      <w:lvlText w:val="•"/>
      <w:lvlJc w:val="left"/>
      <w:pPr>
        <w:tabs>
          <w:tab w:val="num" w:pos="2160"/>
        </w:tabs>
        <w:ind w:left="2160" w:hanging="360"/>
      </w:pPr>
      <w:rPr>
        <w:rFonts w:ascii="Times New Roman" w:hAnsi="Times New Roman" w:hint="default"/>
      </w:rPr>
    </w:lvl>
    <w:lvl w:ilvl="3" w:tplc="DCB2334E" w:tentative="1">
      <w:start w:val="1"/>
      <w:numFmt w:val="bullet"/>
      <w:lvlText w:val="•"/>
      <w:lvlJc w:val="left"/>
      <w:pPr>
        <w:tabs>
          <w:tab w:val="num" w:pos="2880"/>
        </w:tabs>
        <w:ind w:left="2880" w:hanging="360"/>
      </w:pPr>
      <w:rPr>
        <w:rFonts w:ascii="Times New Roman" w:hAnsi="Times New Roman" w:hint="default"/>
      </w:rPr>
    </w:lvl>
    <w:lvl w:ilvl="4" w:tplc="8F7E589C" w:tentative="1">
      <w:start w:val="1"/>
      <w:numFmt w:val="bullet"/>
      <w:lvlText w:val="•"/>
      <w:lvlJc w:val="left"/>
      <w:pPr>
        <w:tabs>
          <w:tab w:val="num" w:pos="3600"/>
        </w:tabs>
        <w:ind w:left="3600" w:hanging="360"/>
      </w:pPr>
      <w:rPr>
        <w:rFonts w:ascii="Times New Roman" w:hAnsi="Times New Roman" w:hint="default"/>
      </w:rPr>
    </w:lvl>
    <w:lvl w:ilvl="5" w:tplc="C85A9756" w:tentative="1">
      <w:start w:val="1"/>
      <w:numFmt w:val="bullet"/>
      <w:lvlText w:val="•"/>
      <w:lvlJc w:val="left"/>
      <w:pPr>
        <w:tabs>
          <w:tab w:val="num" w:pos="4320"/>
        </w:tabs>
        <w:ind w:left="4320" w:hanging="360"/>
      </w:pPr>
      <w:rPr>
        <w:rFonts w:ascii="Times New Roman" w:hAnsi="Times New Roman" w:hint="default"/>
      </w:rPr>
    </w:lvl>
    <w:lvl w:ilvl="6" w:tplc="3A9282EC" w:tentative="1">
      <w:start w:val="1"/>
      <w:numFmt w:val="bullet"/>
      <w:lvlText w:val="•"/>
      <w:lvlJc w:val="left"/>
      <w:pPr>
        <w:tabs>
          <w:tab w:val="num" w:pos="5040"/>
        </w:tabs>
        <w:ind w:left="5040" w:hanging="360"/>
      </w:pPr>
      <w:rPr>
        <w:rFonts w:ascii="Times New Roman" w:hAnsi="Times New Roman" w:hint="default"/>
      </w:rPr>
    </w:lvl>
    <w:lvl w:ilvl="7" w:tplc="FD7E4FB4" w:tentative="1">
      <w:start w:val="1"/>
      <w:numFmt w:val="bullet"/>
      <w:lvlText w:val="•"/>
      <w:lvlJc w:val="left"/>
      <w:pPr>
        <w:tabs>
          <w:tab w:val="num" w:pos="5760"/>
        </w:tabs>
        <w:ind w:left="5760" w:hanging="360"/>
      </w:pPr>
      <w:rPr>
        <w:rFonts w:ascii="Times New Roman" w:hAnsi="Times New Roman" w:hint="default"/>
      </w:rPr>
    </w:lvl>
    <w:lvl w:ilvl="8" w:tplc="3098B54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6C37B7"/>
    <w:multiLevelType w:val="hybridMultilevel"/>
    <w:tmpl w:val="580880E6"/>
    <w:lvl w:ilvl="0" w:tplc="5440A0E8">
      <w:start w:val="5"/>
      <w:numFmt w:val="bullet"/>
      <w:lvlText w:val="-"/>
      <w:lvlJc w:val="left"/>
      <w:pPr>
        <w:tabs>
          <w:tab w:val="num" w:pos="720"/>
        </w:tabs>
        <w:ind w:left="720" w:hanging="360"/>
      </w:pPr>
      <w:rPr>
        <w:rFonts w:ascii="Arial" w:eastAsia="Times New Roman" w:hAnsi="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B2111"/>
    <w:multiLevelType w:val="hybridMultilevel"/>
    <w:tmpl w:val="94BA0C0C"/>
    <w:lvl w:ilvl="0" w:tplc="9EB2880E">
      <w:start w:val="1"/>
      <w:numFmt w:val="bullet"/>
      <w:lvlText w:val="•"/>
      <w:lvlJc w:val="left"/>
      <w:pPr>
        <w:tabs>
          <w:tab w:val="num" w:pos="720"/>
        </w:tabs>
        <w:ind w:left="720" w:hanging="360"/>
      </w:pPr>
      <w:rPr>
        <w:rFonts w:ascii="Times New Roman" w:hAnsi="Times New Roman" w:hint="default"/>
      </w:rPr>
    </w:lvl>
    <w:lvl w:ilvl="1" w:tplc="082CBFE6" w:tentative="1">
      <w:start w:val="1"/>
      <w:numFmt w:val="bullet"/>
      <w:lvlText w:val="•"/>
      <w:lvlJc w:val="left"/>
      <w:pPr>
        <w:tabs>
          <w:tab w:val="num" w:pos="1440"/>
        </w:tabs>
        <w:ind w:left="1440" w:hanging="360"/>
      </w:pPr>
      <w:rPr>
        <w:rFonts w:ascii="Times New Roman" w:hAnsi="Times New Roman" w:hint="default"/>
      </w:rPr>
    </w:lvl>
    <w:lvl w:ilvl="2" w:tplc="81C8393E" w:tentative="1">
      <w:start w:val="1"/>
      <w:numFmt w:val="bullet"/>
      <w:lvlText w:val="•"/>
      <w:lvlJc w:val="left"/>
      <w:pPr>
        <w:tabs>
          <w:tab w:val="num" w:pos="2160"/>
        </w:tabs>
        <w:ind w:left="2160" w:hanging="360"/>
      </w:pPr>
      <w:rPr>
        <w:rFonts w:ascii="Times New Roman" w:hAnsi="Times New Roman" w:hint="default"/>
      </w:rPr>
    </w:lvl>
    <w:lvl w:ilvl="3" w:tplc="69986188" w:tentative="1">
      <w:start w:val="1"/>
      <w:numFmt w:val="bullet"/>
      <w:lvlText w:val="•"/>
      <w:lvlJc w:val="left"/>
      <w:pPr>
        <w:tabs>
          <w:tab w:val="num" w:pos="2880"/>
        </w:tabs>
        <w:ind w:left="2880" w:hanging="360"/>
      </w:pPr>
      <w:rPr>
        <w:rFonts w:ascii="Times New Roman" w:hAnsi="Times New Roman" w:hint="default"/>
      </w:rPr>
    </w:lvl>
    <w:lvl w:ilvl="4" w:tplc="2A6E1C7C" w:tentative="1">
      <w:start w:val="1"/>
      <w:numFmt w:val="bullet"/>
      <w:lvlText w:val="•"/>
      <w:lvlJc w:val="left"/>
      <w:pPr>
        <w:tabs>
          <w:tab w:val="num" w:pos="3600"/>
        </w:tabs>
        <w:ind w:left="3600" w:hanging="360"/>
      </w:pPr>
      <w:rPr>
        <w:rFonts w:ascii="Times New Roman" w:hAnsi="Times New Roman" w:hint="default"/>
      </w:rPr>
    </w:lvl>
    <w:lvl w:ilvl="5" w:tplc="07082090" w:tentative="1">
      <w:start w:val="1"/>
      <w:numFmt w:val="bullet"/>
      <w:lvlText w:val="•"/>
      <w:lvlJc w:val="left"/>
      <w:pPr>
        <w:tabs>
          <w:tab w:val="num" w:pos="4320"/>
        </w:tabs>
        <w:ind w:left="4320" w:hanging="360"/>
      </w:pPr>
      <w:rPr>
        <w:rFonts w:ascii="Times New Roman" w:hAnsi="Times New Roman" w:hint="default"/>
      </w:rPr>
    </w:lvl>
    <w:lvl w:ilvl="6" w:tplc="8A068546" w:tentative="1">
      <w:start w:val="1"/>
      <w:numFmt w:val="bullet"/>
      <w:lvlText w:val="•"/>
      <w:lvlJc w:val="left"/>
      <w:pPr>
        <w:tabs>
          <w:tab w:val="num" w:pos="5040"/>
        </w:tabs>
        <w:ind w:left="5040" w:hanging="360"/>
      </w:pPr>
      <w:rPr>
        <w:rFonts w:ascii="Times New Roman" w:hAnsi="Times New Roman" w:hint="default"/>
      </w:rPr>
    </w:lvl>
    <w:lvl w:ilvl="7" w:tplc="5BE4A20A" w:tentative="1">
      <w:start w:val="1"/>
      <w:numFmt w:val="bullet"/>
      <w:lvlText w:val="•"/>
      <w:lvlJc w:val="left"/>
      <w:pPr>
        <w:tabs>
          <w:tab w:val="num" w:pos="5760"/>
        </w:tabs>
        <w:ind w:left="5760" w:hanging="360"/>
      </w:pPr>
      <w:rPr>
        <w:rFonts w:ascii="Times New Roman" w:hAnsi="Times New Roman" w:hint="default"/>
      </w:rPr>
    </w:lvl>
    <w:lvl w:ilvl="8" w:tplc="C20E08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0F36C9"/>
    <w:multiLevelType w:val="hybridMultilevel"/>
    <w:tmpl w:val="EB884952"/>
    <w:lvl w:ilvl="0" w:tplc="3392EBD2">
      <w:start w:val="1"/>
      <w:numFmt w:val="bullet"/>
      <w:lvlText w:val="•"/>
      <w:lvlJc w:val="left"/>
      <w:pPr>
        <w:tabs>
          <w:tab w:val="num" w:pos="720"/>
        </w:tabs>
        <w:ind w:left="720" w:hanging="360"/>
      </w:pPr>
      <w:rPr>
        <w:rFonts w:ascii="Times New Roman" w:hAnsi="Times New Roman" w:hint="default"/>
      </w:rPr>
    </w:lvl>
    <w:lvl w:ilvl="1" w:tplc="83C83912" w:tentative="1">
      <w:start w:val="1"/>
      <w:numFmt w:val="bullet"/>
      <w:lvlText w:val="•"/>
      <w:lvlJc w:val="left"/>
      <w:pPr>
        <w:tabs>
          <w:tab w:val="num" w:pos="1440"/>
        </w:tabs>
        <w:ind w:left="1440" w:hanging="360"/>
      </w:pPr>
      <w:rPr>
        <w:rFonts w:ascii="Times New Roman" w:hAnsi="Times New Roman" w:hint="default"/>
      </w:rPr>
    </w:lvl>
    <w:lvl w:ilvl="2" w:tplc="C6C2BC98" w:tentative="1">
      <w:start w:val="1"/>
      <w:numFmt w:val="bullet"/>
      <w:lvlText w:val="•"/>
      <w:lvlJc w:val="left"/>
      <w:pPr>
        <w:tabs>
          <w:tab w:val="num" w:pos="2160"/>
        </w:tabs>
        <w:ind w:left="2160" w:hanging="360"/>
      </w:pPr>
      <w:rPr>
        <w:rFonts w:ascii="Times New Roman" w:hAnsi="Times New Roman" w:hint="default"/>
      </w:rPr>
    </w:lvl>
    <w:lvl w:ilvl="3" w:tplc="9A9C007E" w:tentative="1">
      <w:start w:val="1"/>
      <w:numFmt w:val="bullet"/>
      <w:lvlText w:val="•"/>
      <w:lvlJc w:val="left"/>
      <w:pPr>
        <w:tabs>
          <w:tab w:val="num" w:pos="2880"/>
        </w:tabs>
        <w:ind w:left="2880" w:hanging="360"/>
      </w:pPr>
      <w:rPr>
        <w:rFonts w:ascii="Times New Roman" w:hAnsi="Times New Roman" w:hint="default"/>
      </w:rPr>
    </w:lvl>
    <w:lvl w:ilvl="4" w:tplc="1CBE093E" w:tentative="1">
      <w:start w:val="1"/>
      <w:numFmt w:val="bullet"/>
      <w:lvlText w:val="•"/>
      <w:lvlJc w:val="left"/>
      <w:pPr>
        <w:tabs>
          <w:tab w:val="num" w:pos="3600"/>
        </w:tabs>
        <w:ind w:left="3600" w:hanging="360"/>
      </w:pPr>
      <w:rPr>
        <w:rFonts w:ascii="Times New Roman" w:hAnsi="Times New Roman" w:hint="default"/>
      </w:rPr>
    </w:lvl>
    <w:lvl w:ilvl="5" w:tplc="D18A127C" w:tentative="1">
      <w:start w:val="1"/>
      <w:numFmt w:val="bullet"/>
      <w:lvlText w:val="•"/>
      <w:lvlJc w:val="left"/>
      <w:pPr>
        <w:tabs>
          <w:tab w:val="num" w:pos="4320"/>
        </w:tabs>
        <w:ind w:left="4320" w:hanging="360"/>
      </w:pPr>
      <w:rPr>
        <w:rFonts w:ascii="Times New Roman" w:hAnsi="Times New Roman" w:hint="default"/>
      </w:rPr>
    </w:lvl>
    <w:lvl w:ilvl="6" w:tplc="9AD45B7E" w:tentative="1">
      <w:start w:val="1"/>
      <w:numFmt w:val="bullet"/>
      <w:lvlText w:val="•"/>
      <w:lvlJc w:val="left"/>
      <w:pPr>
        <w:tabs>
          <w:tab w:val="num" w:pos="5040"/>
        </w:tabs>
        <w:ind w:left="5040" w:hanging="360"/>
      </w:pPr>
      <w:rPr>
        <w:rFonts w:ascii="Times New Roman" w:hAnsi="Times New Roman" w:hint="default"/>
      </w:rPr>
    </w:lvl>
    <w:lvl w:ilvl="7" w:tplc="551C6CA2" w:tentative="1">
      <w:start w:val="1"/>
      <w:numFmt w:val="bullet"/>
      <w:lvlText w:val="•"/>
      <w:lvlJc w:val="left"/>
      <w:pPr>
        <w:tabs>
          <w:tab w:val="num" w:pos="5760"/>
        </w:tabs>
        <w:ind w:left="5760" w:hanging="360"/>
      </w:pPr>
      <w:rPr>
        <w:rFonts w:ascii="Times New Roman" w:hAnsi="Times New Roman" w:hint="default"/>
      </w:rPr>
    </w:lvl>
    <w:lvl w:ilvl="8" w:tplc="F2A64A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CF76E5"/>
    <w:multiLevelType w:val="hybridMultilevel"/>
    <w:tmpl w:val="23061280"/>
    <w:lvl w:ilvl="0" w:tplc="20F6D7F8">
      <w:start w:val="1"/>
      <w:numFmt w:val="bullet"/>
      <w:lvlText w:val="•"/>
      <w:lvlJc w:val="left"/>
      <w:pPr>
        <w:tabs>
          <w:tab w:val="num" w:pos="720"/>
        </w:tabs>
        <w:ind w:left="720" w:hanging="360"/>
      </w:pPr>
      <w:rPr>
        <w:rFonts w:ascii="Times New Roman" w:hAnsi="Times New Roman" w:hint="default"/>
      </w:rPr>
    </w:lvl>
    <w:lvl w:ilvl="1" w:tplc="E6A87EB0" w:tentative="1">
      <w:start w:val="1"/>
      <w:numFmt w:val="bullet"/>
      <w:lvlText w:val="•"/>
      <w:lvlJc w:val="left"/>
      <w:pPr>
        <w:tabs>
          <w:tab w:val="num" w:pos="1440"/>
        </w:tabs>
        <w:ind w:left="1440" w:hanging="360"/>
      </w:pPr>
      <w:rPr>
        <w:rFonts w:ascii="Times New Roman" w:hAnsi="Times New Roman" w:hint="default"/>
      </w:rPr>
    </w:lvl>
    <w:lvl w:ilvl="2" w:tplc="CE38F592" w:tentative="1">
      <w:start w:val="1"/>
      <w:numFmt w:val="bullet"/>
      <w:lvlText w:val="•"/>
      <w:lvlJc w:val="left"/>
      <w:pPr>
        <w:tabs>
          <w:tab w:val="num" w:pos="2160"/>
        </w:tabs>
        <w:ind w:left="2160" w:hanging="360"/>
      </w:pPr>
      <w:rPr>
        <w:rFonts w:ascii="Times New Roman" w:hAnsi="Times New Roman" w:hint="default"/>
      </w:rPr>
    </w:lvl>
    <w:lvl w:ilvl="3" w:tplc="9A4A802E" w:tentative="1">
      <w:start w:val="1"/>
      <w:numFmt w:val="bullet"/>
      <w:lvlText w:val="•"/>
      <w:lvlJc w:val="left"/>
      <w:pPr>
        <w:tabs>
          <w:tab w:val="num" w:pos="2880"/>
        </w:tabs>
        <w:ind w:left="2880" w:hanging="360"/>
      </w:pPr>
      <w:rPr>
        <w:rFonts w:ascii="Times New Roman" w:hAnsi="Times New Roman" w:hint="default"/>
      </w:rPr>
    </w:lvl>
    <w:lvl w:ilvl="4" w:tplc="EAA2D61E" w:tentative="1">
      <w:start w:val="1"/>
      <w:numFmt w:val="bullet"/>
      <w:lvlText w:val="•"/>
      <w:lvlJc w:val="left"/>
      <w:pPr>
        <w:tabs>
          <w:tab w:val="num" w:pos="3600"/>
        </w:tabs>
        <w:ind w:left="3600" w:hanging="360"/>
      </w:pPr>
      <w:rPr>
        <w:rFonts w:ascii="Times New Roman" w:hAnsi="Times New Roman" w:hint="default"/>
      </w:rPr>
    </w:lvl>
    <w:lvl w:ilvl="5" w:tplc="E8966E98" w:tentative="1">
      <w:start w:val="1"/>
      <w:numFmt w:val="bullet"/>
      <w:lvlText w:val="•"/>
      <w:lvlJc w:val="left"/>
      <w:pPr>
        <w:tabs>
          <w:tab w:val="num" w:pos="4320"/>
        </w:tabs>
        <w:ind w:left="4320" w:hanging="360"/>
      </w:pPr>
      <w:rPr>
        <w:rFonts w:ascii="Times New Roman" w:hAnsi="Times New Roman" w:hint="default"/>
      </w:rPr>
    </w:lvl>
    <w:lvl w:ilvl="6" w:tplc="40463C50" w:tentative="1">
      <w:start w:val="1"/>
      <w:numFmt w:val="bullet"/>
      <w:lvlText w:val="•"/>
      <w:lvlJc w:val="left"/>
      <w:pPr>
        <w:tabs>
          <w:tab w:val="num" w:pos="5040"/>
        </w:tabs>
        <w:ind w:left="5040" w:hanging="360"/>
      </w:pPr>
      <w:rPr>
        <w:rFonts w:ascii="Times New Roman" w:hAnsi="Times New Roman" w:hint="default"/>
      </w:rPr>
    </w:lvl>
    <w:lvl w:ilvl="7" w:tplc="45E0ED8C" w:tentative="1">
      <w:start w:val="1"/>
      <w:numFmt w:val="bullet"/>
      <w:lvlText w:val="•"/>
      <w:lvlJc w:val="left"/>
      <w:pPr>
        <w:tabs>
          <w:tab w:val="num" w:pos="5760"/>
        </w:tabs>
        <w:ind w:left="5760" w:hanging="360"/>
      </w:pPr>
      <w:rPr>
        <w:rFonts w:ascii="Times New Roman" w:hAnsi="Times New Roman" w:hint="default"/>
      </w:rPr>
    </w:lvl>
    <w:lvl w:ilvl="8" w:tplc="DC1CD5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310595"/>
    <w:multiLevelType w:val="hybridMultilevel"/>
    <w:tmpl w:val="CA3E6820"/>
    <w:lvl w:ilvl="0" w:tplc="32FA020E">
      <w:start w:val="1"/>
      <w:numFmt w:val="bullet"/>
      <w:lvlText w:val="•"/>
      <w:lvlJc w:val="left"/>
      <w:pPr>
        <w:tabs>
          <w:tab w:val="num" w:pos="720"/>
        </w:tabs>
        <w:ind w:left="720" w:hanging="360"/>
      </w:pPr>
      <w:rPr>
        <w:rFonts w:ascii="Times New Roman" w:hAnsi="Times New Roman" w:hint="default"/>
      </w:rPr>
    </w:lvl>
    <w:lvl w:ilvl="1" w:tplc="1EF29BB6" w:tentative="1">
      <w:start w:val="1"/>
      <w:numFmt w:val="bullet"/>
      <w:lvlText w:val="•"/>
      <w:lvlJc w:val="left"/>
      <w:pPr>
        <w:tabs>
          <w:tab w:val="num" w:pos="1440"/>
        </w:tabs>
        <w:ind w:left="1440" w:hanging="360"/>
      </w:pPr>
      <w:rPr>
        <w:rFonts w:ascii="Times New Roman" w:hAnsi="Times New Roman" w:hint="default"/>
      </w:rPr>
    </w:lvl>
    <w:lvl w:ilvl="2" w:tplc="348C41B2" w:tentative="1">
      <w:start w:val="1"/>
      <w:numFmt w:val="bullet"/>
      <w:lvlText w:val="•"/>
      <w:lvlJc w:val="left"/>
      <w:pPr>
        <w:tabs>
          <w:tab w:val="num" w:pos="2160"/>
        </w:tabs>
        <w:ind w:left="2160" w:hanging="360"/>
      </w:pPr>
      <w:rPr>
        <w:rFonts w:ascii="Times New Roman" w:hAnsi="Times New Roman" w:hint="default"/>
      </w:rPr>
    </w:lvl>
    <w:lvl w:ilvl="3" w:tplc="BD282EC4" w:tentative="1">
      <w:start w:val="1"/>
      <w:numFmt w:val="bullet"/>
      <w:lvlText w:val="•"/>
      <w:lvlJc w:val="left"/>
      <w:pPr>
        <w:tabs>
          <w:tab w:val="num" w:pos="2880"/>
        </w:tabs>
        <w:ind w:left="2880" w:hanging="360"/>
      </w:pPr>
      <w:rPr>
        <w:rFonts w:ascii="Times New Roman" w:hAnsi="Times New Roman" w:hint="default"/>
      </w:rPr>
    </w:lvl>
    <w:lvl w:ilvl="4" w:tplc="919C9F70" w:tentative="1">
      <w:start w:val="1"/>
      <w:numFmt w:val="bullet"/>
      <w:lvlText w:val="•"/>
      <w:lvlJc w:val="left"/>
      <w:pPr>
        <w:tabs>
          <w:tab w:val="num" w:pos="3600"/>
        </w:tabs>
        <w:ind w:left="3600" w:hanging="360"/>
      </w:pPr>
      <w:rPr>
        <w:rFonts w:ascii="Times New Roman" w:hAnsi="Times New Roman" w:hint="default"/>
      </w:rPr>
    </w:lvl>
    <w:lvl w:ilvl="5" w:tplc="13CAB246" w:tentative="1">
      <w:start w:val="1"/>
      <w:numFmt w:val="bullet"/>
      <w:lvlText w:val="•"/>
      <w:lvlJc w:val="left"/>
      <w:pPr>
        <w:tabs>
          <w:tab w:val="num" w:pos="4320"/>
        </w:tabs>
        <w:ind w:left="4320" w:hanging="360"/>
      </w:pPr>
      <w:rPr>
        <w:rFonts w:ascii="Times New Roman" w:hAnsi="Times New Roman" w:hint="default"/>
      </w:rPr>
    </w:lvl>
    <w:lvl w:ilvl="6" w:tplc="BF0A61EE" w:tentative="1">
      <w:start w:val="1"/>
      <w:numFmt w:val="bullet"/>
      <w:lvlText w:val="•"/>
      <w:lvlJc w:val="left"/>
      <w:pPr>
        <w:tabs>
          <w:tab w:val="num" w:pos="5040"/>
        </w:tabs>
        <w:ind w:left="5040" w:hanging="360"/>
      </w:pPr>
      <w:rPr>
        <w:rFonts w:ascii="Times New Roman" w:hAnsi="Times New Roman" w:hint="default"/>
      </w:rPr>
    </w:lvl>
    <w:lvl w:ilvl="7" w:tplc="6F8CC0D2" w:tentative="1">
      <w:start w:val="1"/>
      <w:numFmt w:val="bullet"/>
      <w:lvlText w:val="•"/>
      <w:lvlJc w:val="left"/>
      <w:pPr>
        <w:tabs>
          <w:tab w:val="num" w:pos="5760"/>
        </w:tabs>
        <w:ind w:left="5760" w:hanging="360"/>
      </w:pPr>
      <w:rPr>
        <w:rFonts w:ascii="Times New Roman" w:hAnsi="Times New Roman" w:hint="default"/>
      </w:rPr>
    </w:lvl>
    <w:lvl w:ilvl="8" w:tplc="ECE014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717093"/>
    <w:multiLevelType w:val="hybridMultilevel"/>
    <w:tmpl w:val="32600B02"/>
    <w:lvl w:ilvl="0" w:tplc="8ED60F34">
      <w:start w:val="1"/>
      <w:numFmt w:val="bullet"/>
      <w:lvlText w:val="•"/>
      <w:lvlJc w:val="left"/>
      <w:pPr>
        <w:tabs>
          <w:tab w:val="num" w:pos="720"/>
        </w:tabs>
        <w:ind w:left="720" w:hanging="360"/>
      </w:pPr>
      <w:rPr>
        <w:rFonts w:ascii="Times New Roman" w:hAnsi="Times New Roman" w:hint="default"/>
      </w:rPr>
    </w:lvl>
    <w:lvl w:ilvl="1" w:tplc="8E7A5BA8" w:tentative="1">
      <w:start w:val="1"/>
      <w:numFmt w:val="bullet"/>
      <w:lvlText w:val="•"/>
      <w:lvlJc w:val="left"/>
      <w:pPr>
        <w:tabs>
          <w:tab w:val="num" w:pos="1440"/>
        </w:tabs>
        <w:ind w:left="1440" w:hanging="360"/>
      </w:pPr>
      <w:rPr>
        <w:rFonts w:ascii="Times New Roman" w:hAnsi="Times New Roman" w:hint="default"/>
      </w:rPr>
    </w:lvl>
    <w:lvl w:ilvl="2" w:tplc="D2E2C2C6" w:tentative="1">
      <w:start w:val="1"/>
      <w:numFmt w:val="bullet"/>
      <w:lvlText w:val="•"/>
      <w:lvlJc w:val="left"/>
      <w:pPr>
        <w:tabs>
          <w:tab w:val="num" w:pos="2160"/>
        </w:tabs>
        <w:ind w:left="2160" w:hanging="360"/>
      </w:pPr>
      <w:rPr>
        <w:rFonts w:ascii="Times New Roman" w:hAnsi="Times New Roman" w:hint="default"/>
      </w:rPr>
    </w:lvl>
    <w:lvl w:ilvl="3" w:tplc="E23CA2C0" w:tentative="1">
      <w:start w:val="1"/>
      <w:numFmt w:val="bullet"/>
      <w:lvlText w:val="•"/>
      <w:lvlJc w:val="left"/>
      <w:pPr>
        <w:tabs>
          <w:tab w:val="num" w:pos="2880"/>
        </w:tabs>
        <w:ind w:left="2880" w:hanging="360"/>
      </w:pPr>
      <w:rPr>
        <w:rFonts w:ascii="Times New Roman" w:hAnsi="Times New Roman" w:hint="default"/>
      </w:rPr>
    </w:lvl>
    <w:lvl w:ilvl="4" w:tplc="43AA5BD6" w:tentative="1">
      <w:start w:val="1"/>
      <w:numFmt w:val="bullet"/>
      <w:lvlText w:val="•"/>
      <w:lvlJc w:val="left"/>
      <w:pPr>
        <w:tabs>
          <w:tab w:val="num" w:pos="3600"/>
        </w:tabs>
        <w:ind w:left="3600" w:hanging="360"/>
      </w:pPr>
      <w:rPr>
        <w:rFonts w:ascii="Times New Roman" w:hAnsi="Times New Roman" w:hint="default"/>
      </w:rPr>
    </w:lvl>
    <w:lvl w:ilvl="5" w:tplc="85B86922" w:tentative="1">
      <w:start w:val="1"/>
      <w:numFmt w:val="bullet"/>
      <w:lvlText w:val="•"/>
      <w:lvlJc w:val="left"/>
      <w:pPr>
        <w:tabs>
          <w:tab w:val="num" w:pos="4320"/>
        </w:tabs>
        <w:ind w:left="4320" w:hanging="360"/>
      </w:pPr>
      <w:rPr>
        <w:rFonts w:ascii="Times New Roman" w:hAnsi="Times New Roman" w:hint="default"/>
      </w:rPr>
    </w:lvl>
    <w:lvl w:ilvl="6" w:tplc="C8920300" w:tentative="1">
      <w:start w:val="1"/>
      <w:numFmt w:val="bullet"/>
      <w:lvlText w:val="•"/>
      <w:lvlJc w:val="left"/>
      <w:pPr>
        <w:tabs>
          <w:tab w:val="num" w:pos="5040"/>
        </w:tabs>
        <w:ind w:left="5040" w:hanging="360"/>
      </w:pPr>
      <w:rPr>
        <w:rFonts w:ascii="Times New Roman" w:hAnsi="Times New Roman" w:hint="default"/>
      </w:rPr>
    </w:lvl>
    <w:lvl w:ilvl="7" w:tplc="694853F2" w:tentative="1">
      <w:start w:val="1"/>
      <w:numFmt w:val="bullet"/>
      <w:lvlText w:val="•"/>
      <w:lvlJc w:val="left"/>
      <w:pPr>
        <w:tabs>
          <w:tab w:val="num" w:pos="5760"/>
        </w:tabs>
        <w:ind w:left="5760" w:hanging="360"/>
      </w:pPr>
      <w:rPr>
        <w:rFonts w:ascii="Times New Roman" w:hAnsi="Times New Roman" w:hint="default"/>
      </w:rPr>
    </w:lvl>
    <w:lvl w:ilvl="8" w:tplc="D2AEFC3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9"/>
    <w:rsid w:val="0016725E"/>
    <w:rsid w:val="001C1D08"/>
    <w:rsid w:val="001D70A6"/>
    <w:rsid w:val="00221880"/>
    <w:rsid w:val="002E45D9"/>
    <w:rsid w:val="002F5D46"/>
    <w:rsid w:val="00334B7B"/>
    <w:rsid w:val="00377498"/>
    <w:rsid w:val="003C35DD"/>
    <w:rsid w:val="003F670F"/>
    <w:rsid w:val="00460B46"/>
    <w:rsid w:val="005241AC"/>
    <w:rsid w:val="00555C58"/>
    <w:rsid w:val="006A7733"/>
    <w:rsid w:val="00712AA7"/>
    <w:rsid w:val="00762280"/>
    <w:rsid w:val="008670AC"/>
    <w:rsid w:val="00867403"/>
    <w:rsid w:val="009B0AFC"/>
    <w:rsid w:val="009F4321"/>
    <w:rsid w:val="00AD0EB7"/>
    <w:rsid w:val="00BB5557"/>
    <w:rsid w:val="00BC03B6"/>
    <w:rsid w:val="00BD09F0"/>
    <w:rsid w:val="00D518FC"/>
    <w:rsid w:val="00DF5801"/>
    <w:rsid w:val="00EA7C25"/>
    <w:rsid w:val="00F012C0"/>
    <w:rsid w:val="00F14C0F"/>
    <w:rsid w:val="00F8504B"/>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0AFC"/>
    <w:rPr>
      <w:color w:val="0563C1" w:themeColor="hyperlink"/>
      <w:u w:val="single"/>
    </w:rPr>
  </w:style>
  <w:style w:type="character" w:styleId="Nierozpoznanawzmianka">
    <w:name w:val="Unresolved Mention"/>
    <w:basedOn w:val="Domylnaczcionkaakapitu"/>
    <w:uiPriority w:val="99"/>
    <w:semiHidden/>
    <w:unhideWhenUsed/>
    <w:rsid w:val="009B0AFC"/>
    <w:rPr>
      <w:color w:val="605E5C"/>
      <w:shd w:val="clear" w:color="auto" w:fill="E1DFDD"/>
    </w:rPr>
  </w:style>
  <w:style w:type="paragraph" w:styleId="Akapitzlist">
    <w:name w:val="List Paragraph"/>
    <w:basedOn w:val="Normalny"/>
    <w:uiPriority w:val="34"/>
    <w:qFormat/>
    <w:rsid w:val="00AD0EB7"/>
    <w:pPr>
      <w:ind w:left="720"/>
      <w:contextualSpacing/>
    </w:pPr>
  </w:style>
  <w:style w:type="paragraph" w:styleId="Tekstpodstawowy">
    <w:name w:val="Body Text"/>
    <w:basedOn w:val="Normalny"/>
    <w:link w:val="TekstpodstawowyZnak"/>
    <w:unhideWhenUsed/>
    <w:rsid w:val="00F14C0F"/>
    <w:pPr>
      <w:spacing w:after="0" w:line="240" w:lineRule="auto"/>
      <w:jc w:val="both"/>
    </w:pPr>
    <w:rPr>
      <w:rFonts w:ascii="Arial Narrow" w:eastAsia="Times New Roman" w:hAnsi="Arial Narrow" w:cs="Times New Roman"/>
      <w:sz w:val="20"/>
      <w:szCs w:val="20"/>
      <w:lang w:eastAsia="fr-FR"/>
    </w:rPr>
  </w:style>
  <w:style w:type="character" w:customStyle="1" w:styleId="TekstpodstawowyZnak">
    <w:name w:val="Tekst podstawowy Znak"/>
    <w:basedOn w:val="Domylnaczcionkaakapitu"/>
    <w:link w:val="Tekstpodstawowy"/>
    <w:rsid w:val="00F14C0F"/>
    <w:rPr>
      <w:rFonts w:ascii="Arial Narrow" w:eastAsia="Times New Roman" w:hAnsi="Arial Narrow" w:cs="Times New Roman"/>
      <w:sz w:val="20"/>
      <w:szCs w:val="20"/>
      <w:lang w:eastAsia="fr-FR"/>
    </w:rPr>
  </w:style>
  <w:style w:type="paragraph" w:styleId="Tekstpodstawowywcity">
    <w:name w:val="Body Text Indent"/>
    <w:basedOn w:val="Normalny"/>
    <w:link w:val="TekstpodstawowywcityZnak"/>
    <w:uiPriority w:val="99"/>
    <w:unhideWhenUsed/>
    <w:rsid w:val="003F670F"/>
    <w:pPr>
      <w:spacing w:after="120"/>
      <w:ind w:left="283"/>
    </w:pPr>
  </w:style>
  <w:style w:type="character" w:customStyle="1" w:styleId="TekstpodstawowywcityZnak">
    <w:name w:val="Tekst podstawowy wcięty Znak"/>
    <w:basedOn w:val="Domylnaczcionkaakapitu"/>
    <w:link w:val="Tekstpodstawowywcity"/>
    <w:uiPriority w:val="99"/>
    <w:rsid w:val="003F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980">
      <w:bodyDiv w:val="1"/>
      <w:marLeft w:val="0"/>
      <w:marRight w:val="0"/>
      <w:marTop w:val="0"/>
      <w:marBottom w:val="0"/>
      <w:divBdr>
        <w:top w:val="none" w:sz="0" w:space="0" w:color="auto"/>
        <w:left w:val="none" w:sz="0" w:space="0" w:color="auto"/>
        <w:bottom w:val="none" w:sz="0" w:space="0" w:color="auto"/>
        <w:right w:val="none" w:sz="0" w:space="0" w:color="auto"/>
      </w:divBdr>
      <w:divsChild>
        <w:div w:id="2123524762">
          <w:marLeft w:val="461"/>
          <w:marRight w:val="0"/>
          <w:marTop w:val="0"/>
          <w:marBottom w:val="0"/>
          <w:divBdr>
            <w:top w:val="none" w:sz="0" w:space="0" w:color="auto"/>
            <w:left w:val="none" w:sz="0" w:space="0" w:color="auto"/>
            <w:bottom w:val="none" w:sz="0" w:space="0" w:color="auto"/>
            <w:right w:val="none" w:sz="0" w:space="0" w:color="auto"/>
          </w:divBdr>
        </w:div>
        <w:div w:id="1365789061">
          <w:marLeft w:val="461"/>
          <w:marRight w:val="0"/>
          <w:marTop w:val="0"/>
          <w:marBottom w:val="0"/>
          <w:divBdr>
            <w:top w:val="none" w:sz="0" w:space="0" w:color="auto"/>
            <w:left w:val="none" w:sz="0" w:space="0" w:color="auto"/>
            <w:bottom w:val="none" w:sz="0" w:space="0" w:color="auto"/>
            <w:right w:val="none" w:sz="0" w:space="0" w:color="auto"/>
          </w:divBdr>
        </w:div>
      </w:divsChild>
    </w:div>
    <w:div w:id="109007677">
      <w:bodyDiv w:val="1"/>
      <w:marLeft w:val="0"/>
      <w:marRight w:val="0"/>
      <w:marTop w:val="0"/>
      <w:marBottom w:val="0"/>
      <w:divBdr>
        <w:top w:val="none" w:sz="0" w:space="0" w:color="auto"/>
        <w:left w:val="none" w:sz="0" w:space="0" w:color="auto"/>
        <w:bottom w:val="none" w:sz="0" w:space="0" w:color="auto"/>
        <w:right w:val="none" w:sz="0" w:space="0" w:color="auto"/>
      </w:divBdr>
      <w:divsChild>
        <w:div w:id="1705055875">
          <w:marLeft w:val="461"/>
          <w:marRight w:val="0"/>
          <w:marTop w:val="0"/>
          <w:marBottom w:val="0"/>
          <w:divBdr>
            <w:top w:val="none" w:sz="0" w:space="0" w:color="auto"/>
            <w:left w:val="none" w:sz="0" w:space="0" w:color="auto"/>
            <w:bottom w:val="none" w:sz="0" w:space="0" w:color="auto"/>
            <w:right w:val="none" w:sz="0" w:space="0" w:color="auto"/>
          </w:divBdr>
        </w:div>
        <w:div w:id="788817660">
          <w:marLeft w:val="461"/>
          <w:marRight w:val="0"/>
          <w:marTop w:val="0"/>
          <w:marBottom w:val="0"/>
          <w:divBdr>
            <w:top w:val="none" w:sz="0" w:space="0" w:color="auto"/>
            <w:left w:val="none" w:sz="0" w:space="0" w:color="auto"/>
            <w:bottom w:val="none" w:sz="0" w:space="0" w:color="auto"/>
            <w:right w:val="none" w:sz="0" w:space="0" w:color="auto"/>
          </w:divBdr>
        </w:div>
        <w:div w:id="172456248">
          <w:marLeft w:val="461"/>
          <w:marRight w:val="0"/>
          <w:marTop w:val="0"/>
          <w:marBottom w:val="0"/>
          <w:divBdr>
            <w:top w:val="none" w:sz="0" w:space="0" w:color="auto"/>
            <w:left w:val="none" w:sz="0" w:space="0" w:color="auto"/>
            <w:bottom w:val="none" w:sz="0" w:space="0" w:color="auto"/>
            <w:right w:val="none" w:sz="0" w:space="0" w:color="auto"/>
          </w:divBdr>
        </w:div>
        <w:div w:id="1249382958">
          <w:marLeft w:val="461"/>
          <w:marRight w:val="0"/>
          <w:marTop w:val="0"/>
          <w:marBottom w:val="0"/>
          <w:divBdr>
            <w:top w:val="none" w:sz="0" w:space="0" w:color="auto"/>
            <w:left w:val="none" w:sz="0" w:space="0" w:color="auto"/>
            <w:bottom w:val="none" w:sz="0" w:space="0" w:color="auto"/>
            <w:right w:val="none" w:sz="0" w:space="0" w:color="auto"/>
          </w:divBdr>
        </w:div>
      </w:divsChild>
    </w:div>
    <w:div w:id="190073836">
      <w:bodyDiv w:val="1"/>
      <w:marLeft w:val="0"/>
      <w:marRight w:val="0"/>
      <w:marTop w:val="0"/>
      <w:marBottom w:val="0"/>
      <w:divBdr>
        <w:top w:val="none" w:sz="0" w:space="0" w:color="auto"/>
        <w:left w:val="none" w:sz="0" w:space="0" w:color="auto"/>
        <w:bottom w:val="none" w:sz="0" w:space="0" w:color="auto"/>
        <w:right w:val="none" w:sz="0" w:space="0" w:color="auto"/>
      </w:divBdr>
      <w:divsChild>
        <w:div w:id="818620073">
          <w:marLeft w:val="461"/>
          <w:marRight w:val="0"/>
          <w:marTop w:val="0"/>
          <w:marBottom w:val="0"/>
          <w:divBdr>
            <w:top w:val="none" w:sz="0" w:space="0" w:color="auto"/>
            <w:left w:val="none" w:sz="0" w:space="0" w:color="auto"/>
            <w:bottom w:val="none" w:sz="0" w:space="0" w:color="auto"/>
            <w:right w:val="none" w:sz="0" w:space="0" w:color="auto"/>
          </w:divBdr>
        </w:div>
        <w:div w:id="850342536">
          <w:marLeft w:val="461"/>
          <w:marRight w:val="0"/>
          <w:marTop w:val="0"/>
          <w:marBottom w:val="0"/>
          <w:divBdr>
            <w:top w:val="none" w:sz="0" w:space="0" w:color="auto"/>
            <w:left w:val="none" w:sz="0" w:space="0" w:color="auto"/>
            <w:bottom w:val="none" w:sz="0" w:space="0" w:color="auto"/>
            <w:right w:val="none" w:sz="0" w:space="0" w:color="auto"/>
          </w:divBdr>
        </w:div>
        <w:div w:id="1090346234">
          <w:marLeft w:val="461"/>
          <w:marRight w:val="0"/>
          <w:marTop w:val="0"/>
          <w:marBottom w:val="0"/>
          <w:divBdr>
            <w:top w:val="none" w:sz="0" w:space="0" w:color="auto"/>
            <w:left w:val="none" w:sz="0" w:space="0" w:color="auto"/>
            <w:bottom w:val="none" w:sz="0" w:space="0" w:color="auto"/>
            <w:right w:val="none" w:sz="0" w:space="0" w:color="auto"/>
          </w:divBdr>
        </w:div>
      </w:divsChild>
    </w:div>
    <w:div w:id="820922826">
      <w:bodyDiv w:val="1"/>
      <w:marLeft w:val="0"/>
      <w:marRight w:val="0"/>
      <w:marTop w:val="0"/>
      <w:marBottom w:val="0"/>
      <w:divBdr>
        <w:top w:val="none" w:sz="0" w:space="0" w:color="auto"/>
        <w:left w:val="none" w:sz="0" w:space="0" w:color="auto"/>
        <w:bottom w:val="none" w:sz="0" w:space="0" w:color="auto"/>
        <w:right w:val="none" w:sz="0" w:space="0" w:color="auto"/>
      </w:divBdr>
    </w:div>
    <w:div w:id="1036394214">
      <w:bodyDiv w:val="1"/>
      <w:marLeft w:val="0"/>
      <w:marRight w:val="0"/>
      <w:marTop w:val="0"/>
      <w:marBottom w:val="0"/>
      <w:divBdr>
        <w:top w:val="none" w:sz="0" w:space="0" w:color="auto"/>
        <w:left w:val="none" w:sz="0" w:space="0" w:color="auto"/>
        <w:bottom w:val="none" w:sz="0" w:space="0" w:color="auto"/>
        <w:right w:val="none" w:sz="0" w:space="0" w:color="auto"/>
      </w:divBdr>
      <w:divsChild>
        <w:div w:id="950865549">
          <w:marLeft w:val="461"/>
          <w:marRight w:val="0"/>
          <w:marTop w:val="0"/>
          <w:marBottom w:val="0"/>
          <w:divBdr>
            <w:top w:val="none" w:sz="0" w:space="0" w:color="auto"/>
            <w:left w:val="none" w:sz="0" w:space="0" w:color="auto"/>
            <w:bottom w:val="none" w:sz="0" w:space="0" w:color="auto"/>
            <w:right w:val="none" w:sz="0" w:space="0" w:color="auto"/>
          </w:divBdr>
        </w:div>
      </w:divsChild>
    </w:div>
    <w:div w:id="1471435248">
      <w:bodyDiv w:val="1"/>
      <w:marLeft w:val="0"/>
      <w:marRight w:val="0"/>
      <w:marTop w:val="0"/>
      <w:marBottom w:val="0"/>
      <w:divBdr>
        <w:top w:val="none" w:sz="0" w:space="0" w:color="auto"/>
        <w:left w:val="none" w:sz="0" w:space="0" w:color="auto"/>
        <w:bottom w:val="none" w:sz="0" w:space="0" w:color="auto"/>
        <w:right w:val="none" w:sz="0" w:space="0" w:color="auto"/>
      </w:divBdr>
      <w:divsChild>
        <w:div w:id="103634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j.edu.pl" TargetMode="External"/><Relationship Id="rId5" Type="http://schemas.openxmlformats.org/officeDocument/2006/relationships/hyperlink" Target="http://www.slcj.uw.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1499</Words>
  <Characters>8997</Characters>
  <Application>Microsoft Office Word</Application>
  <DocSecurity>0</DocSecurity>
  <Lines>74</Lines>
  <Paragraphs>20</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CERN</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Adam Maj</cp:lastModifiedBy>
  <cp:revision>3</cp:revision>
  <dcterms:created xsi:type="dcterms:W3CDTF">2021-07-26T20:16:00Z</dcterms:created>
  <dcterms:modified xsi:type="dcterms:W3CDTF">2021-07-29T11:24:00Z</dcterms:modified>
</cp:coreProperties>
</file>